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rFonts w:hint="eastAsia" w:hAnsi="黑体" w:cs="黑体"/>
        </w:rPr>
      </w:pPr>
      <w:r>
        <w:rPr>
          <w:rFonts w:hint="eastAsia" w:hAnsi="黑体" w:cs="黑体"/>
        </w:rPr>
        <w:t>ICS71.100.70</w:t>
      </w:r>
    </w:p>
    <w:p>
      <w:pPr>
        <w:pStyle w:val="9"/>
        <w:rPr>
          <w:rFonts w:hint="eastAsia" w:hAnsi="黑体" w:cs="黑体"/>
        </w:rPr>
      </w:pPr>
      <w:r>
        <w:rPr>
          <w:rFonts w:hint="eastAsia" w:hAnsi="黑体" w:cs="黑体"/>
        </w:rPr>
        <w:t>Y42</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9"/>
              <w:rPr>
                <w:rFonts w:hint="eastAsia" w:ascii="Times New Roman" w:hAnsi="Times New Roman"/>
              </w:rPr>
            </w:pPr>
            <w:r>
              <w:rPr>
                <w:rFonts w:ascii="Times New Roman" w:hAnsi="Times New Roman"/>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4" name="矩形 4"/>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yK4v7NUAAAAHAQAADwAAAAAA&#10;AAABACAAAAAiAAAAZHJzL2Rvd25yZXYueG1sUEsBAhQAFAAAAAgAh07iQEdwbomkAQAAJwMAAA4A&#10;AAAAAAAAAQAgAAAAJAEAAGRycy9lMm9Eb2MueG1sUEsFBgAAAAAGAAYAWQEAADoFAAAAAA==&#10;">
                      <v:fill on="t" focussize="0,0"/>
                      <v:stroke on="f"/>
                      <v:imagedata o:title=""/>
                      <o:lock v:ext="edit" aspectratio="f"/>
                    </v:rect>
                  </w:pict>
                </mc:Fallback>
              </mc:AlternateContent>
            </w:r>
          </w:p>
        </w:tc>
      </w:tr>
    </w:tbl>
    <w:p>
      <w:pPr>
        <w:pStyle w:val="10"/>
        <w:rPr>
          <w:rFonts w:ascii="Times New Roman" w:hAnsi="Times New Roman"/>
        </w:rPr>
      </w:pPr>
      <w:r>
        <w:rPr>
          <w:rFonts w:ascii="Times New Roman" w:hAnsi="Times New Roman"/>
        </w:rPr>
        <w:t>团体标准</w:t>
      </w:r>
    </w:p>
    <w:p>
      <w:pPr>
        <w:pStyle w:val="11"/>
        <w:rPr>
          <w:rFonts w:hAnsi="黑体" w:cs="黑体"/>
        </w:rPr>
      </w:pPr>
      <w:r>
        <w:rPr>
          <w:rFonts w:hint="eastAsia" w:hAnsi="黑体" w:cs="黑体"/>
        </w:rPr>
        <w:t>T/</w:t>
      </w:r>
      <w:bookmarkStart w:id="0" w:name="_Hlk37400560"/>
      <w:r>
        <w:rPr>
          <w:rFonts w:hint="eastAsia" w:hAnsi="黑体" w:cs="黑体"/>
        </w:rPr>
        <w:t>CAFFCI</w:t>
      </w:r>
      <w:bookmarkStart w:id="1" w:name="StdNo1"/>
      <w:r>
        <w:rPr>
          <w:rFonts w:hint="eastAsia" w:hAnsi="黑体" w:cs="黑体"/>
        </w:rPr>
        <w:t>X</w:t>
      </w:r>
      <w:bookmarkEnd w:id="0"/>
      <w:r>
        <w:rPr>
          <w:rFonts w:hint="eastAsia" w:hAnsi="黑体" w:cs="黑体"/>
        </w:rPr>
        <w:t>—</w:t>
      </w:r>
      <w:bookmarkEnd w:id="1"/>
      <w:r>
        <w:rPr>
          <w:rFonts w:hint="eastAsia" w:hAnsi="黑体" w:cs="黑体"/>
        </w:rPr>
        <w:t>2020</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2"/>
              <w:rPr>
                <w:rFonts w:ascii="Times New Roman" w:hAnsi="Times New Roman"/>
              </w:rPr>
            </w:pPr>
          </w:p>
        </w:tc>
      </w:tr>
    </w:tbl>
    <w:p>
      <w:pPr>
        <w:pStyle w:val="11"/>
        <w:rPr>
          <w:rFonts w:ascii="Times New Roman" w:hAnsi="Times New Roman"/>
        </w:rPr>
      </w:pPr>
    </w:p>
    <w:p>
      <w:pPr>
        <w:pStyle w:val="11"/>
        <w:rPr>
          <w:rFonts w:ascii="Times New Roman" w:hAnsi="Times New Roman"/>
        </w:rPr>
      </w:pPr>
    </w:p>
    <w:p>
      <w:pPr>
        <w:pStyle w:val="18"/>
        <w:framePr w:vAnchor="text" w:hAnchor="page" w:x="1431" w:y="13497"/>
        <w:rPr>
          <w:rFonts w:ascii="Times New Roman" w:hAnsi="Times New Roman"/>
        </w:rPr>
      </w:pPr>
      <w:r>
        <w:rPr>
          <w:rFonts w:hint="eastAsia" w:ascii="黑体" w:hAnsi="黑体" w:cs="黑体"/>
        </w:rPr>
        <w:t>2020-x-x</w:t>
      </w:r>
      <w:r>
        <w:rPr>
          <w:rFonts w:ascii="Times New Roman" w:hAnsi="Times New Roman"/>
        </w:rPr>
        <w:t>发布</w:t>
      </w:r>
      <w:r>
        <w:rPr>
          <w:rFonts w:ascii="Times New Roman" w:hAnsi="Times New Roman"/>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lh2s81gAAAAsBAAAPAAAAAAAAAAEAIAAA&#10;ACIAAABkcnMvZG93bnJldi54bWxQSwECFAAUAAAACACHTuJAwcdH3NUBAACYAwAADgAAAAAAAAAB&#10;ACAAAAAlAQAAZHJzL2Uyb0RvYy54bWxQSwUGAAAAAAYABgBZAQAAbAUAAAAA&#10;">
                <v:fill on="f" focussize="0,0"/>
                <v:stroke color="#000000" joinstyle="round"/>
                <v:imagedata o:title=""/>
                <o:lock v:ext="edit" aspectratio="f"/>
                <w10:anchorlock/>
              </v:line>
            </w:pict>
          </mc:Fallback>
        </mc:AlternateContent>
      </w:r>
    </w:p>
    <w:p>
      <w:pPr>
        <w:pStyle w:val="20"/>
        <w:framePr w:vAnchor="text" w:hAnchor="page" w:x="7066" w:y="13497"/>
        <w:rPr>
          <w:rFonts w:ascii="Times New Roman" w:hAnsi="Times New Roman"/>
        </w:rPr>
      </w:pPr>
      <w:r>
        <w:rPr>
          <w:rFonts w:hint="eastAsia" w:ascii="黑体" w:hAnsi="黑体" w:cs="黑体"/>
        </w:rPr>
        <w:t>2020-x-x</w:t>
      </w:r>
      <w:r>
        <w:rPr>
          <w:rFonts w:ascii="Times New Roman" w:hAnsi="Times New Roman"/>
        </w:rPr>
        <w:t>实施</w:t>
      </w:r>
    </w:p>
    <w:p>
      <w:pPr>
        <w:pStyle w:val="22"/>
        <w:rPr>
          <w:rFonts w:ascii="Times New Roman" w:hAnsi="Times New Roman"/>
        </w:rPr>
      </w:pPr>
      <w:bookmarkStart w:id="2" w:name="fm"/>
      <w:r>
        <w:rPr>
          <w:rFonts w:hint="eastAsia" w:hAnsi="黑体" w:cs="黑体"/>
          <w:w w:val="100"/>
        </w:rPr>
        <mc:AlternateContent>
          <mc:Choice Requires="wps">
            <w:drawing>
              <wp:anchor distT="0" distB="0" distL="114300" distR="114300" simplePos="0" relativeHeight="251659264"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2" name="矩形 2"/>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42.55pt;margin-top:-310.45pt;height:24pt;width:100pt;z-index:-25165721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bXu1tkAAAANAQAADwAAAAAA&#10;AAABACAAAAAiAAAAZHJzL2Rvd25yZXYueG1sUEsBAhQAFAAAAAgAh07iQHV13TegAQAAKAMAAA4A&#10;AAAAAAAAAQAgAAAAKAEAAGRycy9lMm9Eb2MueG1sUEsFBgAAAAAGAAYAWQEAADoFAAAAAA==&#10;">
                <v:fill on="t" focussize="0,0"/>
                <v:stroke on="f"/>
                <v:imagedata o:title=""/>
                <o:lock v:ext="edit" aspectratio="f"/>
              </v:rect>
            </w:pict>
          </mc:Fallback>
        </mc:AlternateContent>
      </w:r>
      <w:r>
        <w:rPr>
          <w:rFonts w:hint="eastAsia" w:hAnsi="黑体" w:cs="黑体"/>
          <w:w w:val="100"/>
        </w:rPr>
        <mc:AlternateContent>
          <mc:Choice Requires="wps">
            <w:drawing>
              <wp:anchor distT="0" distB="0" distL="114300" distR="114300" simplePos="0" relativeHeight="25165824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347.55pt;margin-top:-585.45pt;height:18pt;width:90pt;z-index:-25165824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JihHaAAAADwEAAA8AAAAA&#10;AAAAAQAgAAAAIgAAAGRycy9kb3ducmV2LnhtbFBLAQIUABQAAAAIAIdO4kCVnzu4oAEAACgDAAAO&#10;AAAAAAAAAAEAIAAAACkBAABkcnMvZTJvRG9jLnhtbFBLBQYAAAAABgAGAFkBAAA7BQAAAAA=&#10;">
                <v:fill on="t" focussize="0,0"/>
                <v:stroke on="f"/>
                <v:imagedata o:title=""/>
                <o:lock v:ext="edit" aspectratio="f"/>
              </v:rect>
            </w:pict>
          </mc:Fallback>
        </mc:AlternateContent>
      </w:r>
      <w:r>
        <w:rPr>
          <w:rFonts w:hint="eastAsia" w:hAnsi="黑体" w:cs="黑体"/>
          <w:w w:val="100"/>
        </w:rP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9" name="直接连接符 9"/>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slkaDYAAAADwEAAA8AAAAAAAAAAQAg&#10;AAAAIgAAAGRycy9kb3ducmV2LnhtbFBLAQIUABQAAAAIAIdO4kCZqmFA1QEAAJgDAAAOAAAAAAAA&#10;AAEAIAAAACcBAABkcnMvZTJvRG9jLnhtbFBLBQYAAAAABgAGAFkBAABuBQAAAAA=&#10;">
                <v:fill on="f" focussize="0,0"/>
                <v:stroke color="#000000" joinstyle="round"/>
                <v:imagedata o:title=""/>
                <o:lock v:ext="edit" aspectratio="f"/>
              </v:line>
            </w:pict>
          </mc:Fallback>
        </mc:AlternateContent>
      </w:r>
      <w:bookmarkEnd w:id="2"/>
      <w:r>
        <w:rPr>
          <w:rFonts w:hint="eastAsia" w:hAnsi="黑体" w:cs="黑体"/>
          <w:szCs w:val="28"/>
        </w:rPr>
        <w:t>中国香料香精化妆品工业协会</w:t>
      </w:r>
      <w:r>
        <w:rPr>
          <w:rFonts w:ascii="Times New Roman" w:hAnsi="Times New Roman"/>
        </w:rPr>
        <w:t>   </w:t>
      </w:r>
      <w:r>
        <w:rPr>
          <w:rStyle w:val="25"/>
          <w:rFonts w:ascii="Times New Roman" w:hAnsi="Times New Roman"/>
        </w:rPr>
        <w:t>发布</w:t>
      </w:r>
    </w:p>
    <w:p>
      <w:pPr>
        <w:pStyle w:val="13"/>
        <w:framePr w:x="1378" w:y="5465"/>
        <w:rPr>
          <w:rFonts w:ascii="Times New Roman" w:hAnsi="Times New Roman"/>
          <w:highlight w:val="yellow"/>
        </w:rPr>
      </w:pPr>
      <w:bookmarkStart w:id="4" w:name="_GoBack"/>
      <w:r>
        <w:rPr>
          <w:rFonts w:ascii="Times New Roman" w:hAnsi="Times New Roman"/>
        </w:rPr>
        <w:t>化妆品用原料</w:t>
      </w:r>
      <w:r>
        <w:rPr>
          <w:rFonts w:hint="eastAsia" w:ascii="Times New Roman" w:hAnsi="Times New Roman"/>
        </w:rPr>
        <w:t>铁皮石斛茎提取物</w:t>
      </w:r>
    </w:p>
    <w:bookmarkEnd w:id="4"/>
    <w:p>
      <w:pPr>
        <w:pStyle w:val="14"/>
        <w:framePr w:x="1378" w:y="5465"/>
        <w:rPr>
          <w:rFonts w:hint="eastAsia" w:ascii="黑体" w:hAnsi="黑体" w:cs="黑体"/>
        </w:rPr>
      </w:pPr>
      <w:bookmarkStart w:id="3" w:name="YZBS"/>
      <w:r>
        <w:rPr>
          <w:rFonts w:hint="eastAsia" w:ascii="黑体" w:hAnsi="黑体" w:cs="黑体"/>
        </w:rPr>
        <w:t>Cosmeticingredients—Dendrobiumcandidumstemextract</w:t>
      </w:r>
    </w:p>
    <w:bookmarkEnd w:id="3"/>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5"/>
              <w:framePr w:x="1378" w:y="5465"/>
              <w:rPr>
                <w:rFonts w:ascii="Times New Roman" w:hAnsi="Times New Roman"/>
              </w:rPr>
            </w:pPr>
            <w:r>
              <w:rPr>
                <w:rFonts w:ascii="Times New Roman" w:hAnsi="Times New Roman"/>
              </w:rPr>
              <mc:AlternateContent>
                <mc:Choice Requires="wps">
                  <w:drawing>
                    <wp:anchor distT="0" distB="0" distL="114300" distR="114300" simplePos="0" relativeHeight="25166643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5"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73.3pt;margin-top:337.15pt;height:20pt;width:150pt;z-index:-25165004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N/X9+DXAAAACwEAAA8AAAAAAAAA&#10;AQAgAAAAIgAAAGRycy9kb3ducmV2LnhtbFBLAQIUABQAAAAIAIdO4kDlLEDBoAEAACgDAAAOAAAA&#10;AAAAAAEAIAAAACYBAABkcnMvZTJvRG9jLnhtbFBLBQYAAAAABgAGAFkBAAA4BQAAAAA=&#10;">
                      <v:fill on="t" focussize="0,0"/>
                      <v:stroke on="f"/>
                      <v:imagedata o:title=""/>
                      <o:lock v:ext="edit" aspectratio="f"/>
                      <w10:anchorlock/>
                    </v:rect>
                  </w:pict>
                </mc:Fallback>
              </mc:AlternateContent>
            </w:r>
            <w:r>
              <w:rPr>
                <w:rFonts w:ascii="Times New Roman" w:hAnsi="Times New Roman"/>
              </w:rPr>
              <w:t>（</w:t>
            </w:r>
            <w:r>
              <w:rPr>
                <w:rFonts w:hint="eastAsia" w:ascii="Times New Roman" w:hAnsi="Times New Roman"/>
              </w:rPr>
              <w:t>征求意见</w:t>
            </w:r>
            <w:r>
              <w:rPr>
                <w:rFonts w:ascii="Times New Roman" w:hAnsi="Times New Roman"/>
              </w:rPr>
              <w:t>稿）</w:t>
            </w:r>
          </w:p>
          <w:p>
            <w:pPr>
              <w:pStyle w:val="15"/>
              <w:framePr w:x="1378" w:y="5465"/>
              <w:rPr>
                <w:rFonts w:ascii="Times New Roman" w:hAnsi="Times New Roman"/>
              </w:rPr>
            </w:pPr>
            <w:r>
              <w:rPr>
                <w:rFonts w:ascii="Times New Roman" w:hAnsi="Times New Roman"/>
              </w:rPr>
              <w:t>在提交反馈意见时，请将您知道的相关专利连同支持性文件一并附上。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17"/>
              <w:framePr w:x="1378" w:y="5465"/>
              <w:rPr>
                <w:rFonts w:ascii="Times New Roman" w:hAnsi="Times New Roman"/>
              </w:rPr>
            </w:pPr>
          </w:p>
        </w:tc>
      </w:tr>
    </w:tbl>
    <w:p>
      <w:pPr>
        <w:pStyle w:val="24"/>
        <w:rPr>
          <w:rFonts w:ascii="Times New Roman" w:hAnsi="Times New Roman"/>
        </w:rPr>
        <w:sectPr>
          <w:pgSz w:w="11906" w:h="16838"/>
          <w:pgMar w:top="567" w:right="850" w:bottom="1134" w:left="1418" w:header="0" w:footer="0" w:gutter="0"/>
          <w:pgNumType w:start="1"/>
          <w:cols w:space="720" w:num="1"/>
          <w:docGrid w:type="lines" w:linePitch="312" w:charSpace="0"/>
        </w:sectPr>
      </w:pPr>
    </w:p>
    <w:p>
      <w:pPr>
        <w:pStyle w:val="26"/>
        <w:rPr>
          <w:rFonts w:hint="eastAsia" w:hAnsi="黑体"/>
          <w:szCs w:val="32"/>
        </w:rPr>
      </w:pPr>
      <w:r>
        <w:rPr>
          <w:rFonts w:hint="eastAsia" w:hAnsi="黑体"/>
          <w:szCs w:val="32"/>
        </w:rPr>
        <w:t>前言</w:t>
      </w:r>
    </w:p>
    <w:p>
      <w:pPr>
        <w:pStyle w:val="24"/>
        <w:ind w:firstLine="0" w:firstLineChars="0"/>
        <w:rPr>
          <w:rFonts w:ascii="Times New Roman"/>
        </w:rPr>
      </w:pPr>
      <w:r>
        <w:rPr>
          <w:rFonts w:ascii="Times New Roman"/>
        </w:rPr>
        <w:t>本标准按照GB/T1.1-2009给出的规则起草；</w:t>
      </w:r>
    </w:p>
    <w:p>
      <w:pPr>
        <w:pStyle w:val="24"/>
        <w:ind w:firstLine="0" w:firstLineChars="0"/>
        <w:rPr>
          <w:rFonts w:ascii="Times New Roman"/>
        </w:rPr>
      </w:pPr>
      <w:r>
        <w:rPr>
          <w:rFonts w:ascii="Times New Roman"/>
        </w:rPr>
        <w:t>本标准由</w:t>
      </w:r>
      <w:r>
        <w:rPr>
          <w:rFonts w:hint="eastAsia" w:cs="宋体"/>
          <w:szCs w:val="21"/>
        </w:rPr>
        <w:t>中国香料香精化妆品工业协会</w:t>
      </w:r>
      <w:r>
        <w:rPr>
          <w:rFonts w:ascii="Times New Roman"/>
        </w:rPr>
        <w:t>提出；</w:t>
      </w:r>
    </w:p>
    <w:p>
      <w:pPr>
        <w:pStyle w:val="24"/>
        <w:ind w:firstLine="0" w:firstLineChars="0"/>
        <w:rPr>
          <w:rFonts w:hint="eastAsia" w:ascii="Times New Roman"/>
        </w:rPr>
      </w:pPr>
      <w:r>
        <w:rPr>
          <w:rFonts w:ascii="Times New Roman"/>
        </w:rPr>
        <w:t>本标准由</w:t>
      </w:r>
      <w:r>
        <w:rPr>
          <w:rFonts w:hint="eastAsia" w:cs="宋体"/>
          <w:szCs w:val="21"/>
        </w:rPr>
        <w:t>中国香料香精化妆品工业协会</w:t>
      </w:r>
      <w:r>
        <w:rPr>
          <w:rFonts w:ascii="Times New Roman"/>
        </w:rPr>
        <w:t>归口；</w:t>
      </w:r>
    </w:p>
    <w:p>
      <w:pPr>
        <w:pStyle w:val="24"/>
        <w:ind w:firstLine="0" w:firstLineChars="0"/>
        <w:rPr>
          <w:rFonts w:ascii="Times New Roman"/>
        </w:rPr>
      </w:pPr>
      <w:r>
        <w:rPr>
          <w:rFonts w:hint="eastAsia" w:ascii="Times New Roman"/>
        </w:rPr>
        <w:t>本标准起草单位：北京植物医生生物科技有限公司、中国科学院昆明植物研究所、北京东方淼森生物科技有限公司、太和康美（北京）中医研究院有限公司。</w:t>
      </w:r>
    </w:p>
    <w:p>
      <w:pPr>
        <w:pStyle w:val="24"/>
        <w:ind w:firstLine="0" w:firstLineChars="0"/>
        <w:rPr>
          <w:rFonts w:hint="eastAsia" w:ascii="Times New Roman"/>
        </w:rPr>
      </w:pPr>
      <w:r>
        <w:rPr>
          <w:rFonts w:hint="eastAsia"/>
        </w:rPr>
        <w:t>本标准主要起草人：刘德海、胡江苗、杨柳、邱显荣、刘有停、张卫红。</w:t>
      </w:r>
    </w:p>
    <w:p>
      <w:pPr>
        <w:pStyle w:val="24"/>
        <w:ind w:firstLine="0" w:firstLineChars="0"/>
        <w:rPr>
          <w:rFonts w:hint="eastAsia" w:ascii="Times New Roman"/>
        </w:rPr>
      </w:pPr>
    </w:p>
    <w:p>
      <w:pPr>
        <w:pStyle w:val="24"/>
        <w:ind w:left="0" w:leftChars="0" w:firstLine="0" w:firstLineChars="0"/>
        <w:jc w:val="left"/>
        <w:rPr>
          <w:rFonts w:ascii="Times New Roman" w:hAnsi="Times New Roman"/>
        </w:rPr>
        <w:sectPr>
          <w:headerReference r:id="rId3" w:type="default"/>
          <w:footerReference r:id="rId4" w:type="default"/>
          <w:pgSz w:w="11906" w:h="16838"/>
          <w:pgMar w:top="567" w:right="1134" w:bottom="1134" w:left="1470" w:header="1418" w:footer="1134" w:gutter="0"/>
          <w:pgNumType w:start="1"/>
          <w:cols w:space="720" w:num="1"/>
          <w:formProt w:val="0"/>
          <w:docGrid w:type="lines" w:linePitch="312" w:charSpace="0"/>
        </w:sectPr>
      </w:pPr>
      <w:r>
        <w:rPr>
          <w:rFonts w:hint="eastAsia"/>
        </w:rPr>
        <w:t>“请注意本文件的某些内容可能涉及专利。本文件的发布机构不承担识别这些专利的责任。”</w:t>
      </w:r>
    </w:p>
    <w:p>
      <w:pPr>
        <w:pStyle w:val="24"/>
        <w:ind w:left="0" w:leftChars="0" w:firstLine="0" w:firstLineChars="0"/>
        <w:rPr>
          <w:rFonts w:hint="eastAsia"/>
        </w:rPr>
        <w:sectPr>
          <w:headerReference r:id="rId5" w:type="default"/>
          <w:footerReference r:id="rId6" w:type="default"/>
          <w:pgSz w:w="11907" w:h="16839"/>
          <w:pgMar w:top="1418" w:right="1134" w:bottom="1134" w:left="1418" w:header="1418" w:footer="851" w:gutter="0"/>
          <w:pgNumType w:fmt="upperRoman" w:start="1"/>
          <w:cols w:space="720" w:num="1"/>
          <w:docGrid w:type="lines" w:linePitch="312" w:charSpace="0"/>
        </w:sectPr>
      </w:pPr>
    </w:p>
    <w:p>
      <w:pPr>
        <w:pStyle w:val="2"/>
        <w:jc w:val="center"/>
        <w:rPr>
          <w:rFonts w:hint="eastAsia"/>
        </w:rPr>
      </w:pPr>
      <w:r>
        <w:rPr>
          <w:rFonts w:hint="eastAsia"/>
        </w:rPr>
        <w:t>化妆品用原料铁皮石斛茎提取物</w:t>
      </w:r>
    </w:p>
    <w:p>
      <w:pPr>
        <w:pStyle w:val="27"/>
        <w:spacing w:before="312" w:after="312"/>
        <w:rPr>
          <w:rFonts w:hint="eastAsia"/>
        </w:rPr>
      </w:pPr>
      <w:r>
        <w:rPr>
          <w:rFonts w:hint="eastAsia"/>
        </w:rPr>
        <w:t>范围</w:t>
      </w:r>
    </w:p>
    <w:p>
      <w:pPr>
        <w:pStyle w:val="3"/>
        <w:ind w:firstLine="420" w:firstLineChars="200"/>
      </w:pPr>
      <w:r>
        <w:rPr>
          <w:rFonts w:hint="eastAsia"/>
        </w:rPr>
        <w:t>本标准规定了化妆品用原料铁皮石斛茎提取物</w:t>
      </w:r>
      <w:r>
        <w:rPr>
          <w:rFonts w:ascii="Times New Roman"/>
          <w:lang w:val="es-ES"/>
        </w:rPr>
        <w:t>的</w:t>
      </w:r>
      <w:r>
        <w:rPr>
          <w:rFonts w:hint="eastAsia" w:ascii="Times New Roman"/>
          <w:lang w:val="es-ES"/>
        </w:rPr>
        <w:t>要求</w:t>
      </w:r>
      <w:r>
        <w:rPr>
          <w:rFonts w:ascii="Times New Roman"/>
          <w:lang w:val="es-ES"/>
        </w:rPr>
        <w:t>、</w:t>
      </w:r>
      <w:r>
        <w:rPr>
          <w:rFonts w:hint="eastAsia" w:ascii="Times New Roman"/>
          <w:lang w:val="es-ES"/>
        </w:rPr>
        <w:t>试验</w:t>
      </w:r>
      <w:r>
        <w:rPr>
          <w:rFonts w:ascii="Times New Roman"/>
          <w:lang w:val="es-ES"/>
        </w:rPr>
        <w:t>方法</w:t>
      </w:r>
      <w:r>
        <w:rPr>
          <w:rFonts w:ascii="Times New Roman"/>
        </w:rPr>
        <w:t>、检验</w:t>
      </w:r>
      <w:r>
        <w:rPr>
          <w:rFonts w:hint="eastAsia" w:ascii="Times New Roman"/>
        </w:rPr>
        <w:t>规则以及</w:t>
      </w:r>
      <w:r>
        <w:rPr>
          <w:rFonts w:ascii="Times New Roman"/>
        </w:rPr>
        <w:t>包装、运输、</w:t>
      </w:r>
      <w:r>
        <w:rPr>
          <w:rFonts w:hint="eastAsia" w:ascii="Times New Roman"/>
        </w:rPr>
        <w:t>贮存</w:t>
      </w:r>
      <w:r>
        <w:rPr>
          <w:rFonts w:ascii="Times New Roman"/>
        </w:rPr>
        <w:t>及保质期。</w:t>
      </w:r>
    </w:p>
    <w:p>
      <w:pPr>
        <w:pStyle w:val="24"/>
        <w:rPr>
          <w:rFonts w:hint="eastAsia" w:ascii="Times New Roman" w:hAnsi="Courier New"/>
          <w:szCs w:val="21"/>
          <w:shd w:val="clear" w:color="auto" w:fill="FFFFFF"/>
          <w:lang w:val="es-ES"/>
        </w:rPr>
      </w:pPr>
      <w:r>
        <w:rPr>
          <w:rFonts w:ascii="Times New Roman"/>
          <w:lang w:val="es-ES"/>
        </w:rPr>
        <w:t>本标准适用于以甘油</w:t>
      </w:r>
      <w:r>
        <w:rPr>
          <w:rFonts w:hint="eastAsia" w:ascii="Times New Roman"/>
          <w:lang w:val="es-ES"/>
        </w:rPr>
        <w:t>、</w:t>
      </w:r>
      <w:r>
        <w:rPr>
          <w:rFonts w:ascii="Times New Roman"/>
          <w:lang w:val="es-ES"/>
        </w:rPr>
        <w:t>丙二醇等有机醇或水或二者按适当比例制成的混合液体</w:t>
      </w:r>
      <w:r>
        <w:rPr>
          <w:rFonts w:hint="eastAsia" w:ascii="Times New Roman"/>
          <w:lang w:val="es-ES"/>
        </w:rPr>
        <w:t>，</w:t>
      </w:r>
      <w:r>
        <w:rPr>
          <w:rFonts w:ascii="Times New Roman"/>
          <w:lang w:val="es-ES"/>
        </w:rPr>
        <w:t>从</w:t>
      </w:r>
      <w:r>
        <w:rPr>
          <w:rFonts w:hint="eastAsia" w:ascii="Times New Roman" w:hAnsi="Courier New"/>
          <w:szCs w:val="21"/>
          <w:shd w:val="clear" w:color="auto" w:fill="FFFFFF"/>
          <w:lang w:val="es-ES"/>
        </w:rPr>
        <w:t>兰科植物铁皮石斛</w:t>
      </w:r>
      <w:r>
        <w:rPr>
          <w:rFonts w:ascii="Times New Roman" w:hAnsi="Courier New"/>
          <w:szCs w:val="21"/>
          <w:shd w:val="clear" w:color="auto" w:fill="FFFFFF"/>
          <w:lang w:val="es-ES"/>
        </w:rPr>
        <w:t>（</w:t>
      </w:r>
      <w:r>
        <w:rPr>
          <w:rFonts w:hint="eastAsia" w:hAnsi="宋体" w:cs="宋体"/>
          <w:i/>
          <w:iCs/>
          <w:color w:val="000000"/>
          <w:kern w:val="2"/>
          <w:szCs w:val="21"/>
          <w:lang w:val="es-ES"/>
        </w:rPr>
        <w:t>Dendrobium</w:t>
      </w:r>
      <w:r>
        <w:rPr>
          <w:rFonts w:hAnsi="宋体" w:cs="宋体"/>
          <w:i/>
          <w:iCs/>
          <w:color w:val="000000"/>
          <w:kern w:val="2"/>
          <w:szCs w:val="21"/>
          <w:lang w:val="es-ES"/>
        </w:rPr>
        <w:t xml:space="preserve"> </w:t>
      </w:r>
      <w:r>
        <w:rPr>
          <w:rFonts w:hint="eastAsia" w:hAnsi="宋体" w:cs="宋体"/>
          <w:i/>
          <w:iCs/>
          <w:color w:val="000000"/>
          <w:kern w:val="2"/>
          <w:szCs w:val="21"/>
          <w:lang w:val="es-ES"/>
        </w:rPr>
        <w:t>candidum</w:t>
      </w:r>
      <w:r>
        <w:rPr>
          <w:rFonts w:ascii="Times New Roman" w:hAnsi="Courier New"/>
          <w:szCs w:val="21"/>
          <w:shd w:val="clear" w:color="auto" w:fill="FFFFFF"/>
          <w:lang w:val="es-ES"/>
        </w:rPr>
        <w:t>）茎中提取的用于化妆品原料的铁皮石斛茎提取物</w:t>
      </w:r>
      <w:r>
        <w:rPr>
          <w:rFonts w:hint="eastAsia" w:ascii="Times New Roman" w:hAnsi="Courier New"/>
          <w:szCs w:val="21"/>
          <w:shd w:val="clear" w:color="auto" w:fill="FFFFFF"/>
          <w:lang w:val="es-ES"/>
        </w:rPr>
        <w:t>。</w:t>
      </w:r>
      <w:r>
        <w:rPr>
          <w:rFonts w:ascii="Times New Roman" w:hAnsi="Courier New"/>
          <w:szCs w:val="21"/>
          <w:shd w:val="clear" w:color="auto" w:fill="FFFFFF"/>
          <w:lang w:val="es-ES"/>
        </w:rPr>
        <w:t>其主要活性成分为多糖</w:t>
      </w:r>
      <w:r>
        <w:rPr>
          <w:rFonts w:hint="eastAsia" w:ascii="Times New Roman" w:hAnsi="Courier New"/>
          <w:szCs w:val="21"/>
          <w:shd w:val="clear" w:color="auto" w:fill="FFFFFF"/>
          <w:lang w:val="es-ES"/>
        </w:rPr>
        <w:t>。</w:t>
      </w:r>
    </w:p>
    <w:p>
      <w:pPr>
        <w:pStyle w:val="27"/>
        <w:spacing w:before="312" w:after="312"/>
        <w:rPr>
          <w:rFonts w:hint="eastAsia"/>
        </w:rPr>
      </w:pPr>
      <w:r>
        <w:rPr>
          <w:rFonts w:hint="eastAsia"/>
        </w:rPr>
        <w:t>规范性引用文件</w:t>
      </w:r>
    </w:p>
    <w:p>
      <w:pPr>
        <w:pStyle w:val="24"/>
        <w:rPr>
          <w:rFonts w:ascii="Times New Roman"/>
          <w:lang w:val="es-ES"/>
        </w:rPr>
      </w:pPr>
      <w:r>
        <w:rPr>
          <w:rFonts w:ascii="Times New Roman"/>
          <w:lang w:val="es-ES"/>
        </w:rPr>
        <w:t>下列文件对于本文件的应用是必不可少的。凡是注日期的引用文件，仅所注日期的版本适用于本文件。凡是不注日期的引用文件，其最新版本（包括所有的修改单）适用于本文件。</w:t>
      </w:r>
    </w:p>
    <w:p>
      <w:pPr>
        <w:pStyle w:val="24"/>
        <w:rPr>
          <w:rFonts w:hint="eastAsia" w:hAnsi="宋体" w:cs="宋体"/>
          <w:lang w:val="es-ES"/>
        </w:rPr>
      </w:pPr>
      <w:r>
        <w:rPr>
          <w:rFonts w:hint="eastAsia" w:hAnsi="宋体" w:cs="宋体"/>
          <w:lang w:val="es-ES"/>
        </w:rPr>
        <w:t>GB/T191包装储运图示标志</w:t>
      </w:r>
    </w:p>
    <w:p>
      <w:pPr>
        <w:pStyle w:val="24"/>
        <w:rPr>
          <w:rFonts w:hint="eastAsia" w:hAnsi="宋体" w:cs="宋体"/>
          <w:lang w:val="es-ES"/>
        </w:rPr>
      </w:pPr>
      <w:r>
        <w:rPr>
          <w:rFonts w:hint="eastAsia" w:hAnsi="宋体" w:cs="宋体"/>
          <w:lang w:val="es-ES"/>
        </w:rPr>
        <w:t>GB/T601化学试剂标准滴定溶液的制备</w:t>
      </w:r>
    </w:p>
    <w:p>
      <w:pPr>
        <w:pStyle w:val="24"/>
        <w:rPr>
          <w:rFonts w:hint="eastAsia" w:hAnsi="宋体" w:cs="宋体"/>
          <w:lang w:val="es-ES"/>
        </w:rPr>
      </w:pPr>
      <w:r>
        <w:rPr>
          <w:rFonts w:hint="eastAsia" w:hAnsi="宋体" w:cs="宋体"/>
          <w:lang w:val="es-ES"/>
        </w:rPr>
        <w:t>GB/T602化学试剂杂质测定用标准溶液的制备</w:t>
      </w:r>
    </w:p>
    <w:p>
      <w:pPr>
        <w:pStyle w:val="24"/>
        <w:rPr>
          <w:rFonts w:hint="eastAsia" w:hAnsi="宋体" w:cs="宋体"/>
          <w:lang w:val="es-ES"/>
        </w:rPr>
      </w:pPr>
      <w:r>
        <w:rPr>
          <w:rFonts w:hint="eastAsia" w:hAnsi="宋体" w:cs="宋体"/>
          <w:lang w:val="es-ES"/>
        </w:rPr>
        <w:t>GB/T603化学试剂</w:t>
      </w:r>
      <w:r>
        <w:rPr>
          <w:rFonts w:hint="eastAsia" w:hAnsi="宋体" w:cs="宋体"/>
        </w:rPr>
        <w:t>试验</w:t>
      </w:r>
      <w:r>
        <w:rPr>
          <w:rFonts w:hint="eastAsia" w:hAnsi="宋体" w:cs="宋体"/>
          <w:lang w:val="es-ES"/>
        </w:rPr>
        <w:t>方法中所用制剂及制品的制备</w:t>
      </w:r>
    </w:p>
    <w:p>
      <w:pPr>
        <w:pStyle w:val="24"/>
        <w:rPr>
          <w:rFonts w:hint="eastAsia" w:hAnsi="宋体" w:cs="宋体"/>
          <w:lang w:val="es-ES"/>
        </w:rPr>
      </w:pPr>
      <w:r>
        <w:rPr>
          <w:rFonts w:hint="eastAsia" w:hAnsi="宋体" w:cs="宋体"/>
          <w:lang w:val="es-ES"/>
        </w:rPr>
        <w:t>GB/T6678化工产品采样总则</w:t>
      </w:r>
    </w:p>
    <w:p>
      <w:pPr>
        <w:pStyle w:val="24"/>
        <w:rPr>
          <w:rFonts w:hint="eastAsia" w:hAnsi="宋体" w:cs="宋体"/>
          <w:lang w:val="es-ES"/>
        </w:rPr>
      </w:pPr>
      <w:r>
        <w:rPr>
          <w:rFonts w:hint="eastAsia" w:hAnsi="宋体" w:cs="宋体"/>
          <w:lang w:val="es-ES"/>
        </w:rPr>
        <w:t>GB/T6680液体化工产品采样通则</w:t>
      </w:r>
    </w:p>
    <w:p>
      <w:pPr>
        <w:pStyle w:val="24"/>
        <w:rPr>
          <w:rFonts w:hint="eastAsia" w:hAnsi="宋体" w:cs="宋体"/>
          <w:lang w:val="es-ES"/>
        </w:rPr>
      </w:pPr>
      <w:r>
        <w:rPr>
          <w:rFonts w:hint="eastAsia" w:hAnsi="宋体" w:cs="宋体"/>
          <w:lang w:val="es-ES"/>
        </w:rPr>
        <w:t>GB/T6682分析实验室用水规格和</w:t>
      </w:r>
      <w:r>
        <w:rPr>
          <w:rFonts w:hint="eastAsia" w:hAnsi="宋体" w:cs="宋体"/>
        </w:rPr>
        <w:t>试验</w:t>
      </w:r>
      <w:r>
        <w:rPr>
          <w:rFonts w:hint="eastAsia" w:hAnsi="宋体" w:cs="宋体"/>
          <w:lang w:val="es-ES"/>
        </w:rPr>
        <w:t>方法</w:t>
      </w:r>
    </w:p>
    <w:p>
      <w:pPr>
        <w:pStyle w:val="24"/>
        <w:rPr>
          <w:rFonts w:hint="eastAsia" w:hAnsi="宋体" w:cs="宋体"/>
          <w:lang w:val="es-ES"/>
        </w:rPr>
      </w:pPr>
      <w:r>
        <w:rPr>
          <w:rFonts w:hint="eastAsia" w:hAnsi="宋体" w:cs="宋体"/>
          <w:lang w:val="es-ES"/>
        </w:rPr>
        <w:t>GB/T8170数值修约规则与极限数值的表示和判定</w:t>
      </w:r>
    </w:p>
    <w:p>
      <w:pPr>
        <w:pStyle w:val="24"/>
        <w:rPr>
          <w:rFonts w:hint="eastAsia" w:hAnsi="宋体" w:cs="宋体"/>
          <w:lang w:val="es-ES"/>
        </w:rPr>
      </w:pPr>
      <w:r>
        <w:rPr>
          <w:rFonts w:hint="eastAsia" w:hAnsi="宋体" w:cs="宋体"/>
          <w:lang w:val="es-ES"/>
        </w:rPr>
        <w:t>化妆品安全技术规范（2015年版）（国家食品药品监督管理总局公告2015年第268号）</w:t>
      </w:r>
    </w:p>
    <w:p>
      <w:pPr>
        <w:pStyle w:val="24"/>
        <w:rPr>
          <w:rFonts w:hint="eastAsia" w:hAnsi="宋体" w:cs="宋体"/>
          <w:lang w:val="es-ES"/>
        </w:rPr>
      </w:pPr>
      <w:r>
        <w:rPr>
          <w:rFonts w:hint="eastAsia" w:hAnsi="宋体" w:cs="宋体"/>
          <w:lang w:val="es-ES"/>
        </w:rPr>
        <w:t>中华人民共和国药典2015年版一部</w:t>
      </w:r>
    </w:p>
    <w:p>
      <w:pPr>
        <w:pStyle w:val="24"/>
        <w:rPr>
          <w:rFonts w:hint="eastAsia" w:hAnsi="宋体" w:cs="宋体"/>
          <w:lang w:val="es-ES"/>
        </w:rPr>
      </w:pPr>
      <w:r>
        <w:rPr>
          <w:rFonts w:hint="eastAsia" w:hAnsi="宋体" w:cs="宋体"/>
          <w:lang w:val="es-ES"/>
        </w:rPr>
        <w:t>中华人民共和国药典2015年版四部</w:t>
      </w:r>
    </w:p>
    <w:p>
      <w:pPr>
        <w:pStyle w:val="27"/>
        <w:spacing w:before="312" w:after="312"/>
        <w:rPr>
          <w:rFonts w:hint="eastAsia"/>
          <w:lang w:val="es-ES"/>
        </w:rPr>
      </w:pPr>
      <w:r>
        <w:rPr>
          <w:lang w:val="es-ES"/>
        </w:rPr>
        <w:t>产品的INCI名称、活性成分名称</w:t>
      </w:r>
    </w:p>
    <w:p>
      <w:pPr>
        <w:pStyle w:val="24"/>
        <w:rPr>
          <w:rFonts w:hint="eastAsia" w:hAnsi="宋体" w:cs="宋体"/>
          <w:color w:val="000000"/>
          <w:kern w:val="2"/>
          <w:szCs w:val="21"/>
          <w:lang w:val="es-ES"/>
        </w:rPr>
      </w:pPr>
      <w:r>
        <w:rPr>
          <w:rFonts w:hint="eastAsia" w:hAnsi="宋体" w:cs="宋体"/>
          <w:color w:val="000000"/>
          <w:kern w:val="2"/>
          <w:szCs w:val="21"/>
        </w:rPr>
        <w:t>铁皮石斛茎提取物的</w:t>
      </w:r>
      <w:r>
        <w:rPr>
          <w:rFonts w:hint="eastAsia" w:hAnsi="宋体" w:cs="宋体"/>
          <w:color w:val="000000"/>
          <w:kern w:val="2"/>
          <w:szCs w:val="21"/>
          <w:lang w:val="es-ES"/>
        </w:rPr>
        <w:t>INCI</w:t>
      </w:r>
      <w:r>
        <w:rPr>
          <w:rFonts w:hint="eastAsia" w:hAnsi="宋体" w:cs="宋体"/>
          <w:color w:val="000000"/>
          <w:kern w:val="2"/>
          <w:szCs w:val="21"/>
        </w:rPr>
        <w:t>名称</w:t>
      </w:r>
      <w:r>
        <w:rPr>
          <w:rFonts w:hint="eastAsia" w:hAnsi="宋体" w:cs="宋体"/>
          <w:color w:val="000000"/>
          <w:kern w:val="2"/>
          <w:szCs w:val="21"/>
          <w:lang w:val="es-ES"/>
        </w:rPr>
        <w:t>：Dendrobium</w:t>
      </w:r>
      <w:r>
        <w:rPr>
          <w:rFonts w:hAnsi="宋体" w:cs="宋体"/>
          <w:color w:val="000000"/>
          <w:kern w:val="2"/>
          <w:szCs w:val="21"/>
          <w:lang w:val="es-ES"/>
        </w:rPr>
        <w:t xml:space="preserve"> </w:t>
      </w:r>
      <w:r>
        <w:rPr>
          <w:rFonts w:hint="eastAsia" w:hAnsi="宋体" w:cs="宋体"/>
          <w:color w:val="000000"/>
          <w:kern w:val="2"/>
          <w:szCs w:val="21"/>
          <w:lang w:val="es-ES"/>
        </w:rPr>
        <w:t>candidum</w:t>
      </w:r>
      <w:r>
        <w:rPr>
          <w:rFonts w:hAnsi="宋体" w:cs="宋体"/>
          <w:color w:val="000000"/>
          <w:kern w:val="2"/>
          <w:szCs w:val="21"/>
          <w:lang w:val="es-ES"/>
        </w:rPr>
        <w:t xml:space="preserve"> </w:t>
      </w:r>
      <w:r>
        <w:rPr>
          <w:rFonts w:hint="eastAsia" w:hAnsi="宋体" w:cs="宋体"/>
          <w:color w:val="000000"/>
          <w:kern w:val="2"/>
          <w:szCs w:val="21"/>
          <w:lang w:val="es-ES"/>
        </w:rPr>
        <w:t>Stem</w:t>
      </w:r>
      <w:r>
        <w:rPr>
          <w:rFonts w:hAnsi="宋体" w:cs="宋体"/>
          <w:color w:val="000000"/>
          <w:kern w:val="2"/>
          <w:szCs w:val="21"/>
          <w:lang w:val="es-ES"/>
        </w:rPr>
        <w:t xml:space="preserve"> </w:t>
      </w:r>
      <w:r>
        <w:rPr>
          <w:rFonts w:hint="eastAsia" w:hAnsi="宋体" w:cs="宋体"/>
          <w:color w:val="000000"/>
          <w:kern w:val="2"/>
          <w:szCs w:val="21"/>
          <w:lang w:val="es-ES"/>
        </w:rPr>
        <w:t>Extract</w:t>
      </w:r>
    </w:p>
    <w:p>
      <w:pPr>
        <w:pStyle w:val="24"/>
        <w:rPr>
          <w:rFonts w:hint="eastAsia" w:hAnsi="宋体" w:cs="宋体"/>
          <w:color w:val="FF0000"/>
          <w:szCs w:val="21"/>
          <w:lang w:val="es-ES"/>
        </w:rPr>
      </w:pPr>
      <w:r>
        <w:rPr>
          <w:rFonts w:hint="eastAsia" w:hAnsi="宋体" w:cs="宋体"/>
          <w:color w:val="000000"/>
          <w:kern w:val="2"/>
          <w:szCs w:val="21"/>
        </w:rPr>
        <w:t>铁皮石斛茎提取物的主要活性成分</w:t>
      </w:r>
      <w:r>
        <w:rPr>
          <w:rFonts w:hint="eastAsia" w:hAnsi="宋体" w:cs="宋体"/>
          <w:color w:val="000000"/>
          <w:kern w:val="2"/>
          <w:szCs w:val="21"/>
          <w:lang w:val="es-ES"/>
        </w:rPr>
        <w:t>：多糖（Polysaccharide）</w:t>
      </w:r>
    </w:p>
    <w:p>
      <w:pPr>
        <w:pStyle w:val="27"/>
        <w:spacing w:before="312" w:after="312"/>
        <w:rPr>
          <w:rFonts w:hint="eastAsia"/>
          <w:lang w:val="es-ES"/>
        </w:rPr>
      </w:pPr>
      <w:r>
        <w:rPr>
          <w:rFonts w:hint="eastAsia"/>
          <w:lang w:val="es-ES"/>
        </w:rPr>
        <w:t>要求</w:t>
      </w:r>
    </w:p>
    <w:p>
      <w:pPr>
        <w:pStyle w:val="24"/>
        <w:rPr>
          <w:rFonts w:ascii="Times New Roman"/>
          <w:lang w:val="es-ES"/>
        </w:rPr>
      </w:pPr>
      <w:r>
        <w:rPr>
          <w:rFonts w:ascii="Times New Roman"/>
          <w:lang w:val="es-ES"/>
        </w:rPr>
        <w:t>铁皮石斛茎提取物的理化、卫生</w:t>
      </w:r>
      <w:r>
        <w:rPr>
          <w:rFonts w:hint="eastAsia" w:ascii="Times New Roman"/>
          <w:lang w:val="es-ES"/>
        </w:rPr>
        <w:t>、</w:t>
      </w:r>
      <w:r>
        <w:rPr>
          <w:rFonts w:hint="eastAsia" w:ascii="Times New Roman"/>
        </w:rPr>
        <w:t>农药残留</w:t>
      </w:r>
      <w:r>
        <w:rPr>
          <w:rFonts w:ascii="Times New Roman"/>
          <w:lang w:val="es-ES"/>
        </w:rPr>
        <w:t>指标应符合表1要求。</w:t>
      </w:r>
    </w:p>
    <w:p>
      <w:pPr>
        <w:pStyle w:val="24"/>
        <w:rPr>
          <w:rFonts w:ascii="Times New Roman"/>
          <w:lang w:val="es-ES"/>
        </w:rPr>
      </w:pPr>
    </w:p>
    <w:p>
      <w:pPr>
        <w:pStyle w:val="24"/>
        <w:rPr>
          <w:rFonts w:ascii="Times New Roman"/>
          <w:lang w:val="es-ES"/>
        </w:rPr>
      </w:pPr>
    </w:p>
    <w:p>
      <w:pPr>
        <w:pStyle w:val="24"/>
        <w:rPr>
          <w:rFonts w:ascii="Times New Roman"/>
          <w:lang w:val="es-ES"/>
        </w:rPr>
      </w:pPr>
    </w:p>
    <w:p>
      <w:pPr>
        <w:pStyle w:val="24"/>
        <w:rPr>
          <w:rFonts w:ascii="Times New Roman"/>
          <w:lang w:val="es-ES"/>
        </w:rPr>
      </w:pPr>
    </w:p>
    <w:p>
      <w:pPr>
        <w:pStyle w:val="24"/>
        <w:rPr>
          <w:rFonts w:ascii="Times New Roman"/>
          <w:lang w:val="es-ES"/>
        </w:rPr>
      </w:pPr>
    </w:p>
    <w:p>
      <w:pPr>
        <w:pStyle w:val="24"/>
        <w:rPr>
          <w:rFonts w:hint="eastAsia" w:ascii="Times New Roman"/>
          <w:lang w:val="es-ES"/>
        </w:rPr>
      </w:pPr>
    </w:p>
    <w:p>
      <w:pPr>
        <w:pStyle w:val="28"/>
        <w:spacing w:before="156" w:after="156"/>
        <w:rPr>
          <w:rFonts w:hint="eastAsia"/>
          <w:szCs w:val="21"/>
        </w:rPr>
      </w:pPr>
      <w:r>
        <w:rPr>
          <w:rFonts w:hint="eastAsia"/>
          <w:szCs w:val="21"/>
        </w:rPr>
        <w:t>铁皮石斛茎提取物的理化、卫生、农药残留指标</w:t>
      </w:r>
    </w:p>
    <w:tbl>
      <w:tblPr>
        <w:tblStyle w:val="5"/>
        <w:tblW w:w="878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2"/>
        <w:gridCol w:w="3274"/>
        <w:gridCol w:w="35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25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项目</w:t>
            </w:r>
          </w:p>
        </w:tc>
        <w:tc>
          <w:tcPr>
            <w:tcW w:w="352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restart"/>
            <w:tcBorders>
              <w:top w:val="single" w:color="auto" w:sz="4" w:space="0"/>
              <w:left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理化性质</w:t>
            </w:r>
          </w:p>
        </w:tc>
        <w:tc>
          <w:tcPr>
            <w:tcW w:w="327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外观</w:t>
            </w:r>
          </w:p>
        </w:tc>
        <w:tc>
          <w:tcPr>
            <w:tcW w:w="352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淡黄色至黄</w:t>
            </w:r>
            <w:r>
              <w:rPr>
                <w:rFonts w:hint="eastAsia"/>
                <w:color w:val="000000"/>
                <w:sz w:val="18"/>
                <w:szCs w:val="18"/>
                <w:lang w:val="es-ES"/>
              </w:rPr>
              <w:t>绿</w:t>
            </w:r>
            <w:r>
              <w:rPr>
                <w:color w:val="000000"/>
                <w:sz w:val="18"/>
                <w:szCs w:val="18"/>
                <w:lang w:val="es-ES"/>
              </w:rPr>
              <w:t>色粘性液体</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气味</w:t>
            </w:r>
          </w:p>
        </w:tc>
        <w:tc>
          <w:tcPr>
            <w:tcW w:w="3527" w:type="dxa"/>
            <w:tcBorders>
              <w:top w:val="single" w:color="auto" w:sz="4" w:space="0"/>
              <w:left w:val="single" w:color="auto" w:sz="4" w:space="0"/>
              <w:bottom w:val="single" w:color="auto" w:sz="4" w:space="0"/>
              <w:right w:val="single" w:color="auto" w:sz="4" w:space="0"/>
            </w:tcBorders>
            <w:noWrap w:val="0"/>
            <w:vAlign w:val="center"/>
          </w:tcPr>
          <w:p>
            <w:pPr>
              <w:jc w:val="center"/>
              <w:rPr>
                <w:color w:val="000000"/>
                <w:sz w:val="18"/>
                <w:szCs w:val="18"/>
                <w:lang w:val="es-ES"/>
              </w:rPr>
            </w:pPr>
            <w:r>
              <w:rPr>
                <w:color w:val="000000"/>
                <w:sz w:val="18"/>
                <w:szCs w:val="18"/>
                <w:lang w:val="es-ES"/>
              </w:rPr>
              <w:t>轻微特征性气味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r>
              <w:rPr>
                <w:rFonts w:hint="eastAsia" w:ascii="宋体" w:hAnsi="宋体" w:cs="宋体"/>
                <w:sz w:val="18"/>
                <w:szCs w:val="18"/>
                <w:lang w:val="es-ES"/>
              </w:rPr>
              <w:t>多糖（mg/mL）</w:t>
            </w:r>
          </w:p>
        </w:tc>
        <w:tc>
          <w:tcPr>
            <w:tcW w:w="352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r>
              <w:rPr>
                <w:rFonts w:hint="eastAsia" w:ascii="宋体" w:hAnsi="宋体" w:cs="宋体"/>
                <w:color w:val="000000"/>
                <w:sz w:val="18"/>
                <w:szCs w:val="18"/>
                <w:lang w:val="es-ES"/>
              </w:rPr>
              <w:t>≥2.0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r>
              <w:rPr>
                <w:rFonts w:hint="eastAsia" w:ascii="宋体" w:hAnsi="宋体" w:cs="宋体"/>
                <w:color w:val="000000"/>
                <w:sz w:val="18"/>
                <w:szCs w:val="18"/>
                <w:lang w:val="es-ES"/>
              </w:rPr>
              <w:t>卫生指标</w:t>
            </w: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rPr>
              <w:t>铅（Pb）（mg/kg）</w:t>
            </w:r>
          </w:p>
        </w:tc>
        <w:tc>
          <w:tcPr>
            <w:tcW w:w="3527"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s="宋体"/>
                <w:sz w:val="18"/>
                <w:szCs w:val="18"/>
              </w:rPr>
            </w:pPr>
            <w:r>
              <w:rPr>
                <w:rFonts w:hint="eastAsia" w:ascii="宋体" w:hAnsi="宋体" w:cs="宋体"/>
                <w:color w:val="000000"/>
                <w:kern w:val="0"/>
                <w:sz w:val="18"/>
                <w:szCs w:val="18"/>
              </w:rPr>
              <w:t>符合《化妆品安全技术规范（2015年版）》的规定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s-ES"/>
              </w:rPr>
            </w:pPr>
            <w:r>
              <w:rPr>
                <w:rFonts w:hint="eastAsia" w:ascii="宋体" w:hAnsi="宋体" w:cs="宋体"/>
                <w:color w:val="000000"/>
                <w:kern w:val="0"/>
                <w:sz w:val="18"/>
                <w:szCs w:val="18"/>
              </w:rPr>
              <w:t>汞</w:t>
            </w:r>
            <w:r>
              <w:rPr>
                <w:rFonts w:hint="eastAsia" w:ascii="宋体" w:hAnsi="宋体" w:cs="宋体"/>
                <w:color w:val="000000"/>
                <w:kern w:val="0"/>
                <w:sz w:val="18"/>
                <w:szCs w:val="18"/>
                <w:lang w:val="es-ES"/>
              </w:rPr>
              <w:t>（Hg）（mg/kg）</w:t>
            </w:r>
          </w:p>
        </w:tc>
        <w:tc>
          <w:tcPr>
            <w:tcW w:w="3527" w:type="dxa"/>
            <w:vMerge w:val="continue"/>
            <w:tcBorders>
              <w:left w:val="single" w:color="auto" w:sz="4" w:space="0"/>
              <w:right w:val="single" w:color="auto" w:sz="4" w:space="0"/>
            </w:tcBorders>
            <w:noWrap w:val="0"/>
            <w:vAlign w:val="center"/>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lang w:val="es-ES"/>
              </w:rPr>
            </w:pPr>
            <w:r>
              <w:rPr>
                <w:rFonts w:hint="eastAsia" w:ascii="宋体" w:hAnsi="宋体" w:cs="宋体"/>
                <w:color w:val="000000"/>
                <w:kern w:val="0"/>
                <w:sz w:val="18"/>
                <w:szCs w:val="18"/>
              </w:rPr>
              <w:t>砷</w:t>
            </w:r>
            <w:r>
              <w:rPr>
                <w:rFonts w:hint="eastAsia" w:ascii="宋体" w:hAnsi="宋体" w:cs="宋体"/>
                <w:color w:val="000000"/>
                <w:kern w:val="0"/>
                <w:sz w:val="18"/>
                <w:szCs w:val="18"/>
                <w:lang w:val="es-ES"/>
              </w:rPr>
              <w:t>（As）（mg/kg）</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rPr>
              <w:t>镉（Cd）（mg/kg）</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rPr>
              <w:t>菌落总数（CFU/g或CFU/mL）</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jc w:val="cente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rPr>
              <w:t>霉菌及酵母菌总数（CFU/g或CFU/mL）</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color w:val="000000"/>
                <w:kern w:val="0"/>
                <w:sz w:val="18"/>
                <w:szCs w:val="18"/>
              </w:rPr>
              <w:t>金黄色葡萄球菌/g（或mL）</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color w:val="000000"/>
                <w:kern w:val="0"/>
                <w:sz w:val="18"/>
                <w:szCs w:val="18"/>
              </w:rPr>
              <w:t>耐热大肠杆菌群/g（或mL）</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82" w:type="dxa"/>
            <w:vMerge w:val="continue"/>
            <w:tcBorders>
              <w:left w:val="single" w:color="auto" w:sz="4" w:space="0"/>
              <w:right w:val="single" w:color="auto" w:sz="4" w:space="0"/>
            </w:tcBorders>
            <w:noWrap w:val="0"/>
            <w:vAlign w:val="center"/>
          </w:tcPr>
          <w:p>
            <w:pPr>
              <w:rPr>
                <w:rFonts w:hint="eastAsia" w:ascii="宋体" w:hAnsi="宋体" w:cs="宋体"/>
                <w:color w:val="000000"/>
                <w:sz w:val="18"/>
                <w:szCs w:val="18"/>
                <w:lang w:val="es-ES"/>
              </w:rPr>
            </w:pPr>
          </w:p>
        </w:tc>
        <w:tc>
          <w:tcPr>
            <w:tcW w:w="327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color w:val="000000"/>
                <w:kern w:val="0"/>
                <w:sz w:val="18"/>
                <w:szCs w:val="18"/>
              </w:rPr>
              <w:t>铜绿假单胞菌/g（或mL）</w:t>
            </w:r>
          </w:p>
        </w:tc>
        <w:tc>
          <w:tcPr>
            <w:tcW w:w="3527" w:type="dxa"/>
            <w:vMerge w:val="continue"/>
            <w:tcBorders>
              <w:left w:val="single" w:color="auto" w:sz="4" w:space="0"/>
              <w:right w:val="single" w:color="auto" w:sz="4" w:space="0"/>
            </w:tcBorders>
            <w:noWrap w:val="0"/>
            <w:vAlign w:val="top"/>
          </w:tcPr>
          <w:p>
            <w:pPr>
              <w:jc w:val="center"/>
              <w:rPr>
                <w:rFonts w:hint="eastAsia" w:ascii="宋体" w:hAnsi="宋体" w:cs="宋体"/>
                <w:sz w:val="18"/>
                <w:szCs w:val="18"/>
                <w:lang w:val="es-ES"/>
              </w:rPr>
            </w:pPr>
          </w:p>
        </w:tc>
      </w:tr>
    </w:tbl>
    <w:p>
      <w:pPr>
        <w:pStyle w:val="27"/>
        <w:spacing w:before="312" w:after="312"/>
        <w:rPr>
          <w:rFonts w:hint="eastAsia"/>
          <w:lang w:val="es-ES"/>
        </w:rPr>
      </w:pPr>
      <w:r>
        <w:rPr>
          <w:lang w:val="es-ES"/>
        </w:rPr>
        <w:t>试验方法</w:t>
      </w:r>
    </w:p>
    <w:p>
      <w:pPr>
        <w:pStyle w:val="24"/>
        <w:rPr>
          <w:rFonts w:ascii="Times New Roman"/>
          <w:lang w:val="es-ES"/>
        </w:rPr>
      </w:pPr>
      <w:r>
        <w:rPr>
          <w:rFonts w:ascii="Times New Roman"/>
          <w:lang w:val="es-ES"/>
        </w:rPr>
        <w:t>本标准所用试剂</w:t>
      </w:r>
      <w:r>
        <w:rPr>
          <w:rFonts w:hint="eastAsia" w:hAnsi="宋体" w:cs="宋体"/>
          <w:lang w:val="es-ES"/>
        </w:rPr>
        <w:t>和水，在没有注明其他要求时，均指分析纯试剂和GB/T6682规定的三级水。实验中所用标准溶液、杂质标准溶液、制剂及制品，参引《中华人民共和国药典》2015版四部方法的，均按《中华人民共和国药典》2015版四部的规定制备。《中华人民共和国药典》2015版四部方法外的试剂配制方法按照GB/T601、GB/T602、GB/T603方法配置标定。</w:t>
      </w:r>
    </w:p>
    <w:p>
      <w:pPr>
        <w:pStyle w:val="29"/>
        <w:spacing w:before="156" w:after="156"/>
        <w:ind w:left="0"/>
        <w:rPr>
          <w:rFonts w:hint="eastAsia"/>
          <w:lang w:val="es-ES"/>
        </w:rPr>
      </w:pPr>
      <w:r>
        <w:rPr>
          <w:rFonts w:hint="eastAsia"/>
          <w:lang w:val="es-ES"/>
        </w:rPr>
        <w:t>外观</w:t>
      </w:r>
    </w:p>
    <w:p>
      <w:pPr>
        <w:pStyle w:val="24"/>
        <w:rPr>
          <w:rFonts w:hint="eastAsia"/>
          <w:szCs w:val="21"/>
        </w:rPr>
      </w:pPr>
      <w:r>
        <w:rPr>
          <w:rFonts w:hAnsi="宋体"/>
          <w:color w:val="000000"/>
          <w:kern w:val="2"/>
          <w:szCs w:val="21"/>
        </w:rPr>
        <w:t>在非直射阳光条件下，取样品于比色管中进行目测。</w:t>
      </w:r>
    </w:p>
    <w:p>
      <w:pPr>
        <w:pStyle w:val="29"/>
        <w:spacing w:before="156" w:after="156"/>
        <w:ind w:left="0"/>
        <w:rPr>
          <w:rFonts w:hint="eastAsia"/>
          <w:lang w:val="es-ES"/>
        </w:rPr>
      </w:pPr>
      <w:r>
        <w:rPr>
          <w:rFonts w:hint="eastAsia"/>
          <w:lang w:val="es-ES"/>
        </w:rPr>
        <w:t>气味</w:t>
      </w:r>
    </w:p>
    <w:p>
      <w:pPr>
        <w:pStyle w:val="24"/>
        <w:rPr>
          <w:rFonts w:hint="eastAsia" w:hAnsi="宋体"/>
          <w:color w:val="000000"/>
          <w:kern w:val="2"/>
          <w:szCs w:val="21"/>
        </w:rPr>
      </w:pPr>
      <w:r>
        <w:rPr>
          <w:rFonts w:hAnsi="宋体"/>
          <w:color w:val="000000"/>
          <w:kern w:val="2"/>
          <w:szCs w:val="21"/>
        </w:rPr>
        <w:t>以嗅觉评定</w:t>
      </w:r>
      <w:r>
        <w:rPr>
          <w:rFonts w:hint="eastAsia" w:hAnsi="宋体"/>
          <w:color w:val="000000"/>
          <w:kern w:val="2"/>
          <w:szCs w:val="21"/>
        </w:rPr>
        <w:t>。</w:t>
      </w:r>
    </w:p>
    <w:p>
      <w:pPr>
        <w:pStyle w:val="30"/>
        <w:spacing w:before="156" w:after="156"/>
        <w:ind w:left="0"/>
        <w:rPr>
          <w:rFonts w:hint="eastAsia"/>
        </w:rPr>
      </w:pPr>
      <w:r>
        <w:rPr>
          <w:rFonts w:hint="eastAsia"/>
        </w:rPr>
        <w:t>试剂与仪器</w:t>
      </w:r>
    </w:p>
    <w:p>
      <w:pPr>
        <w:pStyle w:val="24"/>
        <w:rPr>
          <w:rFonts w:hint="eastAsia" w:hAnsi="宋体" w:cs="宋体"/>
          <w:color w:val="000000"/>
          <w:kern w:val="2"/>
          <w:szCs w:val="21"/>
        </w:rPr>
      </w:pPr>
      <w:r>
        <w:rPr>
          <w:rFonts w:hint="eastAsia" w:hAnsi="宋体" w:cs="宋体"/>
          <w:color w:val="000000"/>
          <w:kern w:val="2"/>
          <w:szCs w:val="21"/>
        </w:rPr>
        <w:t>a)评香试条；</w:t>
      </w:r>
    </w:p>
    <w:p>
      <w:pPr>
        <w:pStyle w:val="24"/>
        <w:rPr>
          <w:rFonts w:hint="eastAsia" w:hAnsi="宋体" w:cs="宋体"/>
          <w:color w:val="000000"/>
          <w:kern w:val="2"/>
          <w:szCs w:val="21"/>
        </w:rPr>
      </w:pPr>
      <w:r>
        <w:rPr>
          <w:rFonts w:hint="eastAsia" w:hAnsi="宋体" w:cs="宋体"/>
          <w:color w:val="000000"/>
          <w:kern w:val="2"/>
          <w:szCs w:val="21"/>
        </w:rPr>
        <w:t>b)敞口烧杯；</w:t>
      </w:r>
    </w:p>
    <w:p>
      <w:pPr>
        <w:pStyle w:val="24"/>
        <w:rPr>
          <w:rFonts w:hint="eastAsia" w:hAnsi="宋体" w:cs="宋体"/>
          <w:color w:val="000000"/>
          <w:kern w:val="2"/>
          <w:szCs w:val="21"/>
        </w:rPr>
      </w:pPr>
      <w:r>
        <w:rPr>
          <w:rFonts w:hint="eastAsia" w:hAnsi="宋体" w:cs="宋体"/>
          <w:color w:val="000000"/>
          <w:kern w:val="2"/>
          <w:szCs w:val="21"/>
        </w:rPr>
        <w:t>c)铁皮石斛茎提取物标样：每种产品都应有独自的标样，标样从以前生产的、并经过产品安全部门接受的产品中取样。</w:t>
      </w:r>
    </w:p>
    <w:p>
      <w:pPr>
        <w:pStyle w:val="30"/>
        <w:spacing w:before="156" w:after="156"/>
        <w:ind w:left="0"/>
        <w:rPr>
          <w:rFonts w:hint="eastAsia"/>
        </w:rPr>
      </w:pPr>
      <w:r>
        <w:rPr>
          <w:rStyle w:val="31"/>
          <w:rFonts w:hint="default"/>
        </w:rPr>
        <w:t>操作过程</w:t>
      </w:r>
    </w:p>
    <w:p>
      <w:pPr>
        <w:pStyle w:val="24"/>
        <w:rPr>
          <w:rFonts w:ascii="Times New Roman"/>
          <w:lang w:val="es-ES"/>
        </w:rPr>
      </w:pPr>
      <w:r>
        <w:rPr>
          <w:rFonts w:hint="eastAsia" w:hAnsi="宋体" w:cs="宋体"/>
          <w:lang w:val="es-ES"/>
        </w:rPr>
        <w:t>取适量试样，置于敞口烧杯中，用评香试条沾取，由2-3人嗅其气味，并与铁皮石斛茎提取物标</w:t>
      </w:r>
      <w:r>
        <w:rPr>
          <w:rFonts w:hint="eastAsia" w:hAnsi="宋体" w:cs="宋体"/>
        </w:rPr>
        <w:t>样</w:t>
      </w:r>
      <w:r>
        <w:rPr>
          <w:rFonts w:hint="eastAsia" w:hAnsi="宋体" w:cs="宋体"/>
          <w:lang w:val="es-ES"/>
        </w:rPr>
        <w:t>对照，评测产品气味。</w:t>
      </w:r>
    </w:p>
    <w:p>
      <w:pPr>
        <w:pStyle w:val="29"/>
        <w:spacing w:before="156" w:after="156"/>
        <w:ind w:left="0"/>
        <w:rPr>
          <w:rFonts w:hint="eastAsia"/>
          <w:lang w:val="es-ES"/>
        </w:rPr>
      </w:pPr>
      <w:r>
        <w:rPr>
          <w:rFonts w:hint="eastAsia"/>
          <w:lang w:val="es-ES"/>
        </w:rPr>
        <w:t>多糖含量的测定</w:t>
      </w:r>
    </w:p>
    <w:p>
      <w:pPr>
        <w:pStyle w:val="24"/>
        <w:rPr>
          <w:rFonts w:hint="eastAsia" w:hAnsi="宋体" w:cs="宋体"/>
          <w:lang w:val="es-ES"/>
        </w:rPr>
      </w:pPr>
      <w:r>
        <w:rPr>
          <w:rFonts w:hint="eastAsia" w:hAnsi="宋体" w:cs="宋体"/>
          <w:color w:val="000000"/>
          <w:kern w:val="2"/>
          <w:szCs w:val="21"/>
        </w:rPr>
        <w:t>采用苯酚-硫酸法测定多糖含量。乙醇(体积分数为95%)提取以除去单糖、低聚糖、酚类、油脂等干扰成分，然</w:t>
      </w:r>
      <w:r>
        <w:rPr>
          <w:rFonts w:hint="eastAsia" w:hAnsi="宋体" w:cs="宋体"/>
          <w:lang w:val="es-ES"/>
        </w:rPr>
        <w:t>后用水提取其中所含的多糖类成分。多糖在硫酸的作用下，水解成单糖，并迅速脱水生成糠醛衍生物，与苯酚缩合成有色化合物，用分光光度法测定其多糖含量。</w:t>
      </w:r>
    </w:p>
    <w:p>
      <w:pPr>
        <w:pStyle w:val="30"/>
        <w:spacing w:before="156" w:after="156"/>
        <w:ind w:left="0"/>
        <w:rPr>
          <w:rFonts w:hint="eastAsia"/>
          <w:lang w:val="es-ES"/>
        </w:rPr>
      </w:pPr>
      <w:r>
        <w:rPr>
          <w:rFonts w:hint="eastAsia"/>
          <w:lang w:val="es-ES"/>
        </w:rPr>
        <w:t>试剂</w:t>
      </w:r>
    </w:p>
    <w:p>
      <w:pPr>
        <w:ind w:firstLine="420" w:firstLineChars="200"/>
        <w:rPr>
          <w:rFonts w:hint="eastAsia" w:ascii="宋体" w:hAnsi="宋体" w:cs="宋体"/>
          <w:color w:val="000000"/>
          <w:szCs w:val="21"/>
        </w:rPr>
      </w:pPr>
      <w:r>
        <w:rPr>
          <w:rFonts w:hint="eastAsia" w:ascii="宋体" w:hAnsi="宋体" w:cs="宋体"/>
          <w:color w:val="000000"/>
          <w:szCs w:val="21"/>
        </w:rPr>
        <w:t>除特殊规定外，所用试剂为分析纯。</w:t>
      </w:r>
    </w:p>
    <w:p>
      <w:pPr>
        <w:ind w:firstLine="420" w:firstLineChars="200"/>
        <w:rPr>
          <w:rFonts w:hint="eastAsia" w:ascii="宋体" w:hAnsi="宋体" w:cs="宋体"/>
          <w:color w:val="000000"/>
          <w:szCs w:val="21"/>
        </w:rPr>
      </w:pPr>
      <w:r>
        <w:rPr>
          <w:rFonts w:hint="eastAsia" w:ascii="宋体" w:hAnsi="宋体" w:cs="宋体"/>
          <w:color w:val="000000"/>
          <w:szCs w:val="21"/>
        </w:rPr>
        <w:t>a)浓</w:t>
      </w:r>
      <w:r>
        <w:rPr>
          <w:rFonts w:hint="eastAsia" w:ascii="宋体" w:hAnsi="宋体" w:cs="宋体"/>
          <w:color w:val="000000"/>
          <w:szCs w:val="21"/>
        </w:rPr>
        <w:t>硫酸：ρ=1.84g/mL；</w:t>
      </w:r>
    </w:p>
    <w:p>
      <w:pPr>
        <w:ind w:firstLine="420" w:firstLineChars="200"/>
        <w:rPr>
          <w:rFonts w:hint="eastAsia" w:ascii="宋体" w:hAnsi="宋体" w:cs="宋体"/>
          <w:color w:val="000000"/>
          <w:szCs w:val="21"/>
        </w:rPr>
      </w:pPr>
      <w:r>
        <w:rPr>
          <w:rFonts w:hint="eastAsia" w:ascii="宋体" w:hAnsi="宋体" w:cs="宋体"/>
          <w:color w:val="000000"/>
          <w:szCs w:val="21"/>
        </w:rPr>
        <w:t>b)95%乙醇；</w:t>
      </w:r>
    </w:p>
    <w:p>
      <w:pPr>
        <w:ind w:firstLine="420" w:firstLineChars="200"/>
        <w:rPr>
          <w:rFonts w:hint="eastAsia" w:ascii="宋体" w:hAnsi="宋体" w:cs="宋体"/>
          <w:color w:val="000000"/>
          <w:szCs w:val="21"/>
        </w:rPr>
      </w:pPr>
      <w:r>
        <w:rPr>
          <w:rFonts w:hint="eastAsia" w:ascii="宋体" w:hAnsi="宋体" w:cs="宋体"/>
          <w:color w:val="000000"/>
          <w:szCs w:val="21"/>
        </w:rPr>
        <w:t>c)苯酚溶液：苯酚50g，加水950mL溶解，混匀置于棕色细口试剂瓶中保存，现配现用；</w:t>
      </w:r>
    </w:p>
    <w:p>
      <w:pPr>
        <w:ind w:firstLine="420" w:firstLineChars="200"/>
        <w:rPr>
          <w:rFonts w:hint="eastAsia" w:ascii="宋体" w:hAnsi="宋体" w:cs="宋体"/>
          <w:color w:val="000000"/>
          <w:szCs w:val="21"/>
        </w:rPr>
      </w:pPr>
      <w:r>
        <w:rPr>
          <w:rFonts w:hint="eastAsia" w:ascii="宋体" w:hAnsi="宋体" w:cs="宋体"/>
          <w:color w:val="000000"/>
          <w:szCs w:val="21"/>
        </w:rPr>
        <w:t>d)葡萄糖标准溶液：称取经105</w:t>
      </w:r>
      <w:r>
        <w:rPr>
          <w:rFonts w:hint="eastAsia" w:ascii="宋体" w:hAnsi="宋体" w:cs="宋体"/>
          <w:szCs w:val="21"/>
        </w:rPr>
        <w:t>℃</w:t>
      </w:r>
      <w:r>
        <w:rPr>
          <w:rFonts w:hint="eastAsia" w:ascii="宋体" w:hAnsi="宋体" w:cs="宋体"/>
          <w:color w:val="000000"/>
          <w:szCs w:val="21"/>
        </w:rPr>
        <w:t>干燥至恒重的无水葡萄糖55.0mg，用去离子水溶解定容于100mL容量瓶中，得浓度为0.550mg/mL葡萄糖储备液，置于4℃冰箱保存。用移液枪移取葡萄糖储备液8.000mL，用去离子水定容于50mL容量瓶中即浓度为0.0880mg/mL葡萄糖标准溶液。</w:t>
      </w:r>
    </w:p>
    <w:p>
      <w:pPr>
        <w:ind w:firstLine="420" w:firstLineChars="200"/>
        <w:rPr>
          <w:rFonts w:hint="eastAsia" w:ascii="宋体" w:hAnsi="宋体" w:cs="宋体"/>
          <w:color w:val="000000"/>
          <w:szCs w:val="21"/>
        </w:rPr>
      </w:pPr>
      <w:r>
        <w:rPr>
          <w:rFonts w:hint="eastAsia" w:ascii="宋体" w:hAnsi="宋体" w:cs="宋体"/>
          <w:color w:val="000000"/>
          <w:szCs w:val="21"/>
        </w:rPr>
        <w:t>e)葡萄糖标准溶液I：称取经105</w:t>
      </w:r>
      <w:r>
        <w:rPr>
          <w:rFonts w:hint="eastAsia" w:ascii="宋体" w:hAnsi="宋体" w:cs="宋体"/>
          <w:szCs w:val="21"/>
        </w:rPr>
        <w:t>℃</w:t>
      </w:r>
      <w:r>
        <w:rPr>
          <w:rFonts w:hint="eastAsia" w:ascii="宋体" w:hAnsi="宋体" w:cs="宋体"/>
          <w:color w:val="000000"/>
          <w:szCs w:val="21"/>
        </w:rPr>
        <w:t>干燥至恒重的无水葡萄糖150.0mg，用去离子水溶解定容于100mL容量瓶中，得浓度为1.50mg/mL葡萄糖标准溶液I，置于4℃冰箱保存。</w:t>
      </w:r>
    </w:p>
    <w:p>
      <w:pPr>
        <w:ind w:firstLine="420" w:firstLineChars="200"/>
        <w:rPr>
          <w:rFonts w:hint="eastAsia" w:ascii="宋体" w:hAnsi="宋体" w:cs="宋体"/>
          <w:color w:val="000000"/>
          <w:szCs w:val="21"/>
        </w:rPr>
      </w:pPr>
      <w:r>
        <w:rPr>
          <w:rFonts w:hint="eastAsia" w:ascii="宋体" w:hAnsi="宋体" w:cs="宋体"/>
          <w:color w:val="000000"/>
          <w:szCs w:val="21"/>
        </w:rPr>
        <w:t>f)淀粉（分析纯可溶性淀粉）标准溶液：烧杯中，加入约85mL热去离子水，加入可溶性淀粉100.0mg，加热（或至微沸）并搅拌，直至得到均匀半透明的液体，放冷后转入100mL容量瓶中。用去离子水洗涤烧杯3次，每次均将洗涤液转移至100mL容量瓶中，最后定容，得浓度为1.0mg/mL的淀粉标准溶液。</w:t>
      </w:r>
    </w:p>
    <w:p>
      <w:pPr>
        <w:ind w:firstLine="420" w:firstLineChars="200"/>
        <w:rPr>
          <w:rFonts w:hint="eastAsia" w:ascii="宋体" w:hAnsi="宋体" w:cs="宋体"/>
          <w:color w:val="000000"/>
          <w:szCs w:val="21"/>
        </w:rPr>
      </w:pPr>
      <w:r>
        <w:rPr>
          <w:rFonts w:hint="eastAsia" w:ascii="宋体" w:hAnsi="宋体" w:cs="宋体"/>
          <w:color w:val="000000"/>
          <w:szCs w:val="21"/>
        </w:rPr>
        <w:t>g)淀粉多糖标准溶液：移取3.000mL淀粉标准溶液于100mL三角瓶中，加入27.0mL95%乙醇，4</w:t>
      </w:r>
      <w:r>
        <w:rPr>
          <w:rFonts w:hint="eastAsia" w:ascii="宋体" w:hAnsi="宋体" w:cs="宋体"/>
          <w:szCs w:val="21"/>
        </w:rPr>
        <w:t>℃</w:t>
      </w:r>
      <w:r>
        <w:rPr>
          <w:rFonts w:hint="eastAsia" w:ascii="宋体" w:hAnsi="宋体" w:cs="宋体"/>
          <w:color w:val="000000"/>
          <w:szCs w:val="21"/>
        </w:rPr>
        <w:t>下静置12h，于4000r/min离心20min，弃去上清液，将沉淀物用约60</w:t>
      </w:r>
      <w:r>
        <w:rPr>
          <w:rFonts w:hint="eastAsia" w:ascii="宋体" w:hAnsi="宋体" w:cs="宋体"/>
          <w:szCs w:val="21"/>
        </w:rPr>
        <w:t>℃</w:t>
      </w:r>
      <w:r>
        <w:rPr>
          <w:rFonts w:hint="eastAsia" w:ascii="宋体" w:hAnsi="宋体" w:cs="宋体"/>
          <w:color w:val="000000"/>
          <w:szCs w:val="21"/>
        </w:rPr>
        <w:t>热去离子水20mL左右充分溶解，并用约8mL，60</w:t>
      </w:r>
      <w:r>
        <w:rPr>
          <w:rFonts w:hint="eastAsia" w:ascii="宋体" w:hAnsi="宋体" w:cs="宋体"/>
          <w:szCs w:val="21"/>
        </w:rPr>
        <w:t>℃</w:t>
      </w:r>
      <w:r>
        <w:rPr>
          <w:rFonts w:hint="eastAsia" w:ascii="宋体" w:hAnsi="宋体" w:cs="宋体"/>
          <w:color w:val="000000"/>
          <w:szCs w:val="21"/>
        </w:rPr>
        <w:t>热去离子水洗涤离心管共三次，合并沉淀物溶解液和洗涤液倒入50mL容量瓶中，放冷后定容到刻度备用。</w:t>
      </w:r>
    </w:p>
    <w:p>
      <w:pPr>
        <w:ind w:firstLine="420" w:firstLineChars="200"/>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h）淀粉多糖标准溶液稀释液：将5.3.1 g）淀粉多糖标准溶液用去离子水稀释至2倍。</w:t>
      </w:r>
    </w:p>
    <w:p>
      <w:pPr>
        <w:pStyle w:val="30"/>
        <w:spacing w:before="156" w:after="156"/>
        <w:ind w:left="0"/>
        <w:rPr>
          <w:rFonts w:hint="eastAsia"/>
          <w:lang w:val="es-ES"/>
        </w:rPr>
      </w:pPr>
      <w:r>
        <w:rPr>
          <w:rFonts w:hint="eastAsia"/>
          <w:lang w:val="es-ES"/>
        </w:rPr>
        <w:t>仪器</w:t>
      </w:r>
    </w:p>
    <w:p>
      <w:pPr>
        <w:ind w:firstLine="420" w:firstLineChars="200"/>
        <w:rPr>
          <w:rFonts w:hint="eastAsia"/>
          <w:szCs w:val="21"/>
        </w:rPr>
      </w:pPr>
      <w:r>
        <w:rPr>
          <w:rFonts w:hint="eastAsia"/>
          <w:szCs w:val="21"/>
        </w:rPr>
        <w:t>可见分光光度计、恒温水浴锅、分析天平、涡旋振荡器。</w:t>
      </w:r>
    </w:p>
    <w:p>
      <w:pPr>
        <w:pStyle w:val="30"/>
        <w:spacing w:before="156" w:after="156"/>
        <w:ind w:left="0"/>
        <w:rPr>
          <w:rFonts w:hint="eastAsia"/>
          <w:lang w:val="es-ES"/>
        </w:rPr>
      </w:pPr>
      <w:r>
        <w:rPr>
          <w:rFonts w:hint="eastAsia"/>
        </w:rPr>
        <w:t>操作过程</w:t>
      </w:r>
    </w:p>
    <w:p>
      <w:pPr>
        <w:rPr>
          <w:rFonts w:hint="eastAsia" w:ascii="黑体" w:eastAsia="黑体"/>
          <w:szCs w:val="21"/>
        </w:rPr>
      </w:pPr>
      <w:r>
        <w:rPr>
          <w:rFonts w:hint="eastAsia" w:ascii="黑体" w:eastAsia="黑体"/>
          <w:szCs w:val="21"/>
        </w:rPr>
        <w:t>5.2.3.1　试样溶液的制备</w:t>
      </w:r>
    </w:p>
    <w:p>
      <w:pPr>
        <w:ind w:firstLine="420" w:firstLineChars="200"/>
        <w:rPr>
          <w:rFonts w:hint="eastAsia" w:ascii="宋体" w:hAnsi="宋体" w:cs="宋体"/>
          <w:szCs w:val="21"/>
        </w:rPr>
      </w:pPr>
      <w:r>
        <w:rPr>
          <w:rFonts w:hint="eastAsia" w:ascii="宋体" w:hAnsi="宋体" w:cs="宋体"/>
          <w:szCs w:val="21"/>
        </w:rPr>
        <w:t>准确移取一定量的液体样品，其余步骤类似于淀粉多糖标准溶液的制备，即于100mL三角烧瓶中，加入9倍体积的95%乙醇，4℃下静置12h，于5000r/min离心30min，弃去上清液，通过吸管用3mL95%乙醇淋洗离心管壁，待洗液落至离心管底部后，用吸管移除洗液，注意勿搅动沉淀，共进行3次洗涤，以去除离心管壁和沉淀表面残留的单糖。将沉淀物用60±2℃热去离子水充分溶解，并用60±2℃热去离子水洗涤离心管3次，合并沉淀物溶解液和洗涤液倒入50mL或100mL容量瓶（容量瓶体积视样品中多糖含量而定）中，放冷后定容到刻度备用。</w:t>
      </w:r>
    </w:p>
    <w:p>
      <w:pPr>
        <w:rPr>
          <w:rFonts w:hint="eastAsia" w:ascii="黑体" w:eastAsia="黑体"/>
          <w:szCs w:val="21"/>
        </w:rPr>
      </w:pPr>
      <w:r>
        <w:rPr>
          <w:rFonts w:hint="eastAsia" w:ascii="黑体" w:eastAsia="黑体"/>
          <w:szCs w:val="21"/>
        </w:rPr>
        <w:t>5.2.3.2　标准曲线的绘制</w:t>
      </w:r>
    </w:p>
    <w:p>
      <w:pPr>
        <w:ind w:firstLine="480"/>
        <w:rPr>
          <w:rFonts w:hint="eastAsia" w:ascii="宋体" w:hAnsi="宋体" w:cs="宋体"/>
          <w:szCs w:val="21"/>
        </w:rPr>
      </w:pPr>
      <w:r>
        <w:rPr>
          <w:rFonts w:hint="eastAsia" w:ascii="宋体" w:hAnsi="宋体" w:cs="宋体"/>
          <w:szCs w:val="21"/>
        </w:rPr>
        <w:t>取7组试管，除空白为1支外，其余6组每组均为3支平行试管。每组分别加入0（空白），0.250，0.500，0.750，1.000，1.250和1.500mL葡萄糖标准溶液（0.0880mg/mL），用去离子水补足至2.000mL，再分别加入苯酚液1.000mL，在漩涡混合器上混合均匀。迅速用移液管加入5.00mL浓硫酸（腐蚀性强，需用移液管移取），漩涡混匀后放置5min，封管沸水浴15min，冷却至室温，于490nm处以空白试液做参比测量吸光度。以葡萄糖标准溶液的平均吸光值为横坐标，理论浓度（mg/mL）为纵坐标做图并进行线性回归，得到标准曲线。</w:t>
      </w:r>
    </w:p>
    <w:p>
      <w:pPr>
        <w:rPr>
          <w:rFonts w:hint="eastAsia" w:ascii="黑体" w:eastAsia="黑体"/>
          <w:szCs w:val="21"/>
        </w:rPr>
      </w:pPr>
      <w:r>
        <w:rPr>
          <w:rFonts w:hint="eastAsia" w:ascii="黑体" w:eastAsia="黑体"/>
          <w:szCs w:val="21"/>
        </w:rPr>
        <w:t>5.2.2.3　试样的测定</w:t>
      </w:r>
    </w:p>
    <w:p>
      <w:pPr>
        <w:autoSpaceDE w:val="0"/>
        <w:autoSpaceDN w:val="0"/>
        <w:adjustRightInd w:val="0"/>
        <w:ind w:firstLine="420" w:firstLineChars="200"/>
        <w:jc w:val="left"/>
        <w:rPr>
          <w:rFonts w:hint="eastAsia" w:ascii="宋体" w:hAnsi="宋体" w:cs="宋体"/>
          <w:szCs w:val="21"/>
        </w:rPr>
      </w:pPr>
      <w:r>
        <w:rPr>
          <w:rFonts w:hint="eastAsia" w:ascii="宋体" w:hAnsi="宋体" w:cs="宋体"/>
          <w:szCs w:val="21"/>
        </w:rPr>
        <w:t>取试样溶液或其稀释液2.000mL放入试管中，同时分别于另外试管中以2.000mL淀粉多糖</w:t>
      </w:r>
      <w:r>
        <w:rPr>
          <w:rFonts w:hint="eastAsia" w:ascii="宋体" w:hAnsi="宋体" w:cs="宋体"/>
          <w:szCs w:val="21"/>
          <w:lang w:val="en-US" w:eastAsia="zh-CN"/>
        </w:rPr>
        <w:t>标准溶液稀释</w:t>
      </w:r>
      <w:r>
        <w:rPr>
          <w:rFonts w:hint="eastAsia" w:ascii="宋体" w:hAnsi="宋体" w:cs="宋体"/>
          <w:szCs w:val="21"/>
        </w:rPr>
        <w:t>液</w:t>
      </w:r>
      <w:r>
        <w:rPr>
          <w:rFonts w:hint="eastAsia" w:ascii="宋体" w:hAnsi="宋体" w:cs="宋体"/>
          <w:szCs w:val="21"/>
          <w:lang w:eastAsia="zh-CN"/>
        </w:rPr>
        <w:t>，</w:t>
      </w:r>
      <w:r>
        <w:rPr>
          <w:rFonts w:hint="eastAsia" w:ascii="宋体" w:hAnsi="宋体" w:cs="宋体"/>
          <w:szCs w:val="21"/>
        </w:rPr>
        <w:t>以及葡萄糖标准溶液I进行带标测试，以2.000mL去离子水做空白对照，分别加入苯酚液1.000mL，分别测量吸光度。每个样品设置3个平行。</w:t>
      </w:r>
    </w:p>
    <w:p>
      <w:pPr>
        <w:pStyle w:val="30"/>
        <w:spacing w:before="156" w:after="156"/>
        <w:ind w:left="0"/>
        <w:rPr>
          <w:rFonts w:hint="eastAsia"/>
          <w:lang w:val="es-ES"/>
        </w:rPr>
      </w:pPr>
      <w:r>
        <w:rPr>
          <w:rFonts w:hint="eastAsia"/>
        </w:rPr>
        <w:t>结果计算</w:t>
      </w:r>
    </w:p>
    <w:p>
      <w:pPr>
        <w:ind w:firstLine="420"/>
        <w:rPr>
          <w:rFonts w:hint="eastAsia" w:ascii="宋体" w:hAnsi="宋体" w:cs="宋体"/>
          <w:color w:val="000000"/>
          <w:szCs w:val="21"/>
        </w:rPr>
      </w:pPr>
      <w:r>
        <w:rPr>
          <w:rFonts w:hint="eastAsia" w:ascii="宋体" w:hAnsi="宋体" w:cs="宋体"/>
          <w:color w:val="000000"/>
          <w:szCs w:val="21"/>
        </w:rPr>
        <w:t>根据标准曲线拟合方程计算出样品中多糖含量。</w:t>
      </w:r>
    </w:p>
    <w:p>
      <w:pPr>
        <w:ind w:firstLine="420"/>
        <w:rPr>
          <w:szCs w:val="21"/>
        </w:rPr>
      </w:pPr>
      <w:r>
        <w:rPr>
          <w:rFonts w:hint="eastAsia" w:ascii="宋体" w:hAnsi="宋体" w:cs="宋体"/>
          <w:color w:val="000000"/>
          <w:szCs w:val="21"/>
        </w:rPr>
        <w:t>以重复性条件下获得的两次独立测定结果的算术平均值表示，两次独立测定的绝对差值不得超过算术平均值的10%。</w:t>
      </w:r>
    </w:p>
    <w:p>
      <w:pPr>
        <w:pStyle w:val="29"/>
        <w:spacing w:before="156" w:after="156"/>
        <w:ind w:left="0"/>
        <w:rPr>
          <w:rFonts w:hint="eastAsia"/>
          <w:lang w:val="es-ES"/>
        </w:rPr>
      </w:pPr>
      <w:r>
        <w:rPr>
          <w:rFonts w:hAnsi="黑体"/>
          <w:color w:val="000000"/>
          <w:kern w:val="2"/>
          <w:sz w:val="22"/>
        </w:rPr>
        <w:t>铅的测定</w:t>
      </w:r>
    </w:p>
    <w:p>
      <w:pPr>
        <w:pStyle w:val="24"/>
        <w:rPr>
          <w:rFonts w:hint="eastAsia" w:hAnsi="宋体" w:cs="宋体"/>
          <w:color w:val="000000"/>
          <w:kern w:val="2"/>
          <w:szCs w:val="21"/>
        </w:rPr>
      </w:pPr>
      <w:r>
        <w:rPr>
          <w:rFonts w:hint="eastAsia" w:hAnsi="宋体" w:cs="宋体"/>
          <w:color w:val="000000"/>
          <w:kern w:val="2"/>
          <w:szCs w:val="21"/>
        </w:rPr>
        <w:t>按照《化妆品安全技术规范》2015版规定的方法检验。</w:t>
      </w:r>
    </w:p>
    <w:p>
      <w:pPr>
        <w:pStyle w:val="29"/>
        <w:spacing w:before="156" w:after="156"/>
        <w:ind w:left="0"/>
        <w:rPr>
          <w:lang w:val="es-ES"/>
        </w:rPr>
      </w:pPr>
      <w:r>
        <w:rPr>
          <w:rFonts w:hAnsi="黑体"/>
          <w:color w:val="000000"/>
          <w:kern w:val="2"/>
          <w:sz w:val="22"/>
        </w:rPr>
        <w:t>汞的测定</w:t>
      </w:r>
    </w:p>
    <w:p>
      <w:pPr>
        <w:pStyle w:val="24"/>
        <w:rPr>
          <w:rFonts w:hint="eastAsia" w:hAnsi="宋体" w:cs="宋体"/>
          <w:color w:val="000000"/>
          <w:kern w:val="2"/>
          <w:szCs w:val="21"/>
        </w:rPr>
      </w:pPr>
      <w:r>
        <w:rPr>
          <w:rFonts w:hint="eastAsia" w:hAnsi="宋体" w:cs="宋体"/>
          <w:color w:val="000000"/>
          <w:kern w:val="2"/>
          <w:szCs w:val="21"/>
        </w:rPr>
        <w:t>按照《化妆品安全技术规范》2015版规定的方法检验。</w:t>
      </w:r>
    </w:p>
    <w:p>
      <w:pPr>
        <w:pStyle w:val="29"/>
        <w:spacing w:before="156" w:after="156"/>
        <w:ind w:left="0"/>
        <w:rPr>
          <w:lang w:val="es-ES"/>
        </w:rPr>
      </w:pPr>
      <w:r>
        <w:rPr>
          <w:rFonts w:hAnsi="黑体"/>
          <w:color w:val="000000"/>
          <w:kern w:val="2"/>
          <w:sz w:val="22"/>
        </w:rPr>
        <w:t>砷的测定</w:t>
      </w:r>
    </w:p>
    <w:p>
      <w:pPr>
        <w:pStyle w:val="24"/>
        <w:rPr>
          <w:rFonts w:hint="eastAsia" w:hAnsi="宋体" w:cs="宋体"/>
          <w:color w:val="000000"/>
          <w:kern w:val="2"/>
          <w:szCs w:val="21"/>
        </w:rPr>
      </w:pPr>
      <w:r>
        <w:rPr>
          <w:rFonts w:hint="eastAsia" w:hAnsi="宋体" w:cs="宋体"/>
          <w:color w:val="000000"/>
          <w:kern w:val="2"/>
          <w:szCs w:val="21"/>
        </w:rPr>
        <w:t>按照《化妆品安全技术规范》2015版规定的方法检验。</w:t>
      </w:r>
    </w:p>
    <w:p>
      <w:pPr>
        <w:pStyle w:val="29"/>
        <w:spacing w:before="156" w:after="156"/>
        <w:ind w:left="0"/>
        <w:rPr>
          <w:color w:val="000000"/>
          <w:kern w:val="2"/>
          <w:sz w:val="22"/>
        </w:rPr>
      </w:pPr>
      <w:r>
        <w:rPr>
          <w:rFonts w:hAnsi="黑体"/>
          <w:color w:val="000000"/>
          <w:kern w:val="2"/>
          <w:sz w:val="22"/>
        </w:rPr>
        <w:t>镉的测定</w:t>
      </w:r>
    </w:p>
    <w:p>
      <w:pPr>
        <w:pStyle w:val="24"/>
        <w:rPr>
          <w:rFonts w:hint="eastAsia" w:hAnsi="宋体" w:cs="宋体"/>
          <w:color w:val="000000"/>
          <w:kern w:val="2"/>
          <w:szCs w:val="21"/>
        </w:rPr>
      </w:pPr>
      <w:r>
        <w:rPr>
          <w:rFonts w:hint="eastAsia" w:hAnsi="宋体" w:cs="宋体"/>
          <w:color w:val="000000"/>
          <w:kern w:val="2"/>
          <w:szCs w:val="21"/>
        </w:rPr>
        <w:t>按照《化妆品安全技术规范》2015版规定的方法检验。</w:t>
      </w:r>
    </w:p>
    <w:p>
      <w:pPr>
        <w:pStyle w:val="29"/>
        <w:spacing w:before="156" w:after="156"/>
        <w:ind w:left="0"/>
        <w:rPr>
          <w:lang w:val="es-ES"/>
        </w:rPr>
      </w:pPr>
      <w:r>
        <w:rPr>
          <w:rFonts w:hAnsi="黑体"/>
          <w:color w:val="000000"/>
          <w:kern w:val="2"/>
          <w:sz w:val="22"/>
        </w:rPr>
        <w:t>微生物指标的测定</w:t>
      </w:r>
    </w:p>
    <w:p>
      <w:pPr>
        <w:pStyle w:val="24"/>
        <w:rPr>
          <w:rFonts w:hint="eastAsia" w:hAnsi="宋体" w:cs="宋体"/>
          <w:color w:val="000000"/>
          <w:kern w:val="2"/>
          <w:szCs w:val="21"/>
        </w:rPr>
      </w:pPr>
      <w:r>
        <w:rPr>
          <w:rFonts w:hint="eastAsia" w:hAnsi="宋体" w:cs="宋体"/>
          <w:color w:val="000000"/>
          <w:kern w:val="2"/>
          <w:szCs w:val="21"/>
        </w:rPr>
        <w:t>按照《化妆品安全技术规范》2015版微生物检验方法测定。</w:t>
      </w:r>
    </w:p>
    <w:p>
      <w:pPr>
        <w:pStyle w:val="29"/>
        <w:spacing w:before="156" w:after="156"/>
        <w:ind w:left="0"/>
        <w:rPr>
          <w:color w:val="000000"/>
          <w:lang w:val="es-ES"/>
        </w:rPr>
      </w:pPr>
      <w:r>
        <w:rPr>
          <w:rFonts w:hint="eastAsia" w:hAnsi="黑体"/>
          <w:color w:val="000000"/>
          <w:kern w:val="2"/>
          <w:sz w:val="22"/>
        </w:rPr>
        <w:t>农药</w:t>
      </w:r>
      <w:r>
        <w:rPr>
          <w:rFonts w:hAnsi="黑体"/>
          <w:color w:val="000000"/>
          <w:kern w:val="2"/>
          <w:sz w:val="22"/>
        </w:rPr>
        <w:t>残留量指标的测定</w:t>
      </w:r>
    </w:p>
    <w:p>
      <w:pPr>
        <w:pStyle w:val="24"/>
        <w:rPr>
          <w:rFonts w:hint="eastAsia" w:hAnsi="宋体" w:cs="宋体"/>
          <w:color w:val="000000"/>
          <w:kern w:val="2"/>
          <w:szCs w:val="21"/>
        </w:rPr>
      </w:pPr>
      <w:r>
        <w:rPr>
          <w:rFonts w:hint="eastAsia" w:hAnsi="宋体" w:cs="宋体"/>
          <w:color w:val="000000"/>
          <w:kern w:val="2"/>
          <w:szCs w:val="21"/>
        </w:rPr>
        <w:t>按照《中华人民共和国药典》2015版四部2341方法中的9种有机氯类农药残留量的方法测定。</w:t>
      </w:r>
    </w:p>
    <w:p>
      <w:pPr>
        <w:pStyle w:val="27"/>
        <w:spacing w:before="312" w:after="312"/>
        <w:rPr>
          <w:lang w:val="es-ES"/>
        </w:rPr>
      </w:pPr>
      <w:r>
        <w:rPr>
          <w:lang w:val="es-ES"/>
        </w:rPr>
        <w:t>检验规则</w:t>
      </w:r>
    </w:p>
    <w:p>
      <w:pPr>
        <w:pStyle w:val="29"/>
        <w:spacing w:before="156" w:after="156"/>
        <w:ind w:left="0"/>
        <w:rPr>
          <w:lang w:val="es-ES"/>
        </w:rPr>
      </w:pPr>
      <w:r>
        <w:rPr>
          <w:lang w:val="es-ES"/>
        </w:rPr>
        <w:t>出厂检验</w:t>
      </w:r>
    </w:p>
    <w:p>
      <w:pPr>
        <w:pStyle w:val="24"/>
        <w:rPr>
          <w:rFonts w:ascii="Times New Roman"/>
          <w:szCs w:val="21"/>
          <w:lang w:val="es-ES"/>
        </w:rPr>
      </w:pPr>
      <w:r>
        <w:rPr>
          <w:rFonts w:ascii="Times New Roman" w:hAnsi="宋体"/>
          <w:color w:val="000000"/>
          <w:kern w:val="2"/>
          <w:szCs w:val="21"/>
        </w:rPr>
        <w:t>由生产厂质量检验部门取样检验。外观、气味、多糖含量、菌落总数、霉菌和酵母菌总数、金黄色葡萄球菌、耐热大肠杆菌群、铜绿假单胞菌为出厂检验项目。生产厂应保证每批出厂的产品都符合本标准的要求。每一批出厂的产品都应有一定格式的质量证书，内容包括出厂检验项目、产品名称、生产厂名称、生产日期和批号、净重、执行标准编号。</w:t>
      </w:r>
    </w:p>
    <w:p>
      <w:pPr>
        <w:pStyle w:val="29"/>
        <w:spacing w:before="156" w:after="156"/>
        <w:ind w:left="0"/>
        <w:rPr>
          <w:rFonts w:hint="eastAsia"/>
          <w:lang w:val="es-ES"/>
        </w:rPr>
      </w:pPr>
      <w:r>
        <w:rPr>
          <w:rFonts w:hint="eastAsia"/>
          <w:lang w:val="es-ES"/>
        </w:rPr>
        <w:t>型式检验</w:t>
      </w:r>
    </w:p>
    <w:p>
      <w:pPr>
        <w:pStyle w:val="24"/>
        <w:rPr>
          <w:rFonts w:ascii="Times New Roman"/>
          <w:color w:val="000000"/>
          <w:kern w:val="2"/>
          <w:szCs w:val="21"/>
        </w:rPr>
      </w:pPr>
      <w:r>
        <w:rPr>
          <w:rFonts w:ascii="Times New Roman" w:hAnsi="宋体"/>
          <w:color w:val="000000"/>
          <w:kern w:val="2"/>
          <w:szCs w:val="21"/>
        </w:rPr>
        <w:t>型式检验每年不</w:t>
      </w:r>
      <w:r>
        <w:rPr>
          <w:rFonts w:hint="eastAsia" w:hAnsi="宋体" w:cs="宋体"/>
          <w:color w:val="000000"/>
          <w:kern w:val="2"/>
          <w:szCs w:val="21"/>
        </w:rPr>
        <w:t>应少于1次。型</w:t>
      </w:r>
      <w:r>
        <w:rPr>
          <w:rFonts w:ascii="Times New Roman" w:hAnsi="宋体"/>
          <w:color w:val="000000"/>
          <w:kern w:val="2"/>
          <w:szCs w:val="21"/>
        </w:rPr>
        <w:t>式检验的项目为技术要求中的全部项目</w:t>
      </w:r>
      <w:r>
        <w:rPr>
          <w:rFonts w:hint="eastAsia" w:ascii="Times New Roman" w:hAnsi="宋体"/>
          <w:color w:val="000000"/>
          <w:kern w:val="2"/>
          <w:szCs w:val="21"/>
        </w:rPr>
        <w:t>，</w:t>
      </w:r>
      <w:r>
        <w:rPr>
          <w:rFonts w:ascii="Times New Roman" w:hAnsi="宋体"/>
          <w:color w:val="000000"/>
          <w:kern w:val="2"/>
          <w:szCs w:val="21"/>
        </w:rPr>
        <w:t>有下列情况之一时，也应进行型式检验：</w:t>
      </w:r>
    </w:p>
    <w:p>
      <w:pPr>
        <w:pStyle w:val="24"/>
        <w:rPr>
          <w:rFonts w:hint="eastAsia" w:hAnsi="宋体" w:cs="宋体"/>
          <w:color w:val="000000"/>
          <w:kern w:val="2"/>
          <w:szCs w:val="21"/>
        </w:rPr>
      </w:pPr>
      <w:r>
        <w:rPr>
          <w:rFonts w:hint="eastAsia" w:hAnsi="宋体" w:cs="宋体"/>
          <w:color w:val="000000"/>
          <w:kern w:val="2"/>
          <w:szCs w:val="21"/>
        </w:rPr>
        <w:t>a)当原料、工艺和设备发生重大改变时；</w:t>
      </w:r>
    </w:p>
    <w:p>
      <w:pPr>
        <w:pStyle w:val="24"/>
        <w:rPr>
          <w:rFonts w:hint="eastAsia" w:hAnsi="宋体" w:cs="宋体"/>
          <w:color w:val="000000"/>
          <w:kern w:val="2"/>
          <w:szCs w:val="21"/>
        </w:rPr>
      </w:pPr>
      <w:r>
        <w:rPr>
          <w:rFonts w:hint="eastAsia" w:hAnsi="宋体" w:cs="宋体"/>
          <w:color w:val="000000"/>
          <w:kern w:val="2"/>
          <w:szCs w:val="21"/>
        </w:rPr>
        <w:t>b)产品首次投产或停产6个月以上恢复生产时；</w:t>
      </w:r>
    </w:p>
    <w:p>
      <w:pPr>
        <w:pStyle w:val="24"/>
        <w:rPr>
          <w:rFonts w:hint="eastAsia" w:hAnsi="宋体" w:cs="宋体"/>
          <w:color w:val="000000"/>
          <w:kern w:val="2"/>
          <w:szCs w:val="21"/>
        </w:rPr>
      </w:pPr>
      <w:r>
        <w:rPr>
          <w:rFonts w:hint="eastAsia" w:hAnsi="宋体" w:cs="宋体"/>
          <w:color w:val="000000"/>
          <w:kern w:val="2"/>
          <w:szCs w:val="21"/>
        </w:rPr>
        <w:t>c)生产场所改变时；</w:t>
      </w:r>
    </w:p>
    <w:p>
      <w:pPr>
        <w:pStyle w:val="24"/>
        <w:rPr>
          <w:rFonts w:hint="eastAsia" w:hAnsi="宋体" w:cs="宋体"/>
          <w:szCs w:val="21"/>
          <w:lang w:val="es-ES"/>
        </w:rPr>
      </w:pPr>
      <w:r>
        <w:rPr>
          <w:rFonts w:hint="eastAsia" w:hAnsi="宋体" w:cs="宋体"/>
          <w:color w:val="000000"/>
          <w:kern w:val="2"/>
          <w:szCs w:val="21"/>
        </w:rPr>
        <w:t>d)国家质量监督机构提出进行型式检验的要求。</w:t>
      </w:r>
    </w:p>
    <w:p>
      <w:pPr>
        <w:pStyle w:val="29"/>
        <w:spacing w:before="156" w:after="156"/>
        <w:ind w:left="0"/>
        <w:rPr>
          <w:rFonts w:eastAsia="宋体"/>
        </w:rPr>
      </w:pPr>
      <w:r>
        <w:rPr>
          <w:rFonts w:hAnsi="宋体" w:eastAsia="宋体"/>
        </w:rPr>
        <w:t>检验结</w:t>
      </w:r>
      <w:r>
        <w:rPr>
          <w:rFonts w:hint="eastAsia" w:ascii="宋体" w:hAnsi="宋体" w:eastAsia="宋体" w:cs="宋体"/>
        </w:rPr>
        <w:t>果若有1项不符合</w:t>
      </w:r>
      <w:r>
        <w:rPr>
          <w:rFonts w:hAnsi="宋体" w:eastAsia="宋体"/>
        </w:rPr>
        <w:t>标准要求，应重新自双倍量的包装中取样进行复验，复验结果仍有</w:t>
      </w:r>
      <w:r>
        <w:rPr>
          <w:rFonts w:eastAsia="宋体"/>
        </w:rPr>
        <w:t>1</w:t>
      </w:r>
      <w:r>
        <w:rPr>
          <w:rFonts w:hAnsi="宋体" w:eastAsia="宋体"/>
        </w:rPr>
        <w:t>项指标不符合标准要求，即整批产品判定为不合格。</w:t>
      </w:r>
    </w:p>
    <w:p>
      <w:pPr>
        <w:pStyle w:val="29"/>
        <w:spacing w:before="156" w:after="156"/>
        <w:ind w:left="0"/>
        <w:rPr>
          <w:rFonts w:hint="eastAsia" w:ascii="宋体" w:hAnsi="宋体" w:eastAsia="宋体" w:cs="宋体"/>
          <w:lang w:val="es-ES"/>
        </w:rPr>
      </w:pPr>
      <w:r>
        <w:rPr>
          <w:rFonts w:hAnsi="宋体" w:eastAsia="宋体"/>
        </w:rPr>
        <w:t>采样</w:t>
      </w:r>
      <w:r>
        <w:rPr>
          <w:rFonts w:hint="eastAsia" w:ascii="宋体" w:hAnsi="宋体" w:eastAsia="宋体" w:cs="宋体"/>
        </w:rPr>
        <w:t>按GB/T6678和GB/T6680中有关规定进行，对产品进行采样两份，密封包装，其中一份用于检验，一份用于留样。</w:t>
      </w:r>
    </w:p>
    <w:p>
      <w:pPr>
        <w:pStyle w:val="29"/>
        <w:spacing w:before="156" w:after="156"/>
        <w:ind w:left="0"/>
        <w:rPr>
          <w:rFonts w:eastAsia="宋体"/>
          <w:lang w:val="es-ES"/>
        </w:rPr>
      </w:pPr>
      <w:r>
        <w:rPr>
          <w:rFonts w:hint="eastAsia" w:ascii="宋体" w:hAnsi="宋体" w:eastAsia="宋体" w:cs="宋体"/>
        </w:rPr>
        <w:t>检验结果的判定按GB/T8170数值修约值比较法进行</w:t>
      </w:r>
      <w:r>
        <w:rPr>
          <w:rFonts w:hAnsi="宋体" w:eastAsia="宋体"/>
        </w:rPr>
        <w:t>。</w:t>
      </w:r>
    </w:p>
    <w:p>
      <w:pPr>
        <w:pStyle w:val="29"/>
        <w:spacing w:before="156" w:after="156"/>
        <w:ind w:left="0"/>
        <w:rPr>
          <w:rFonts w:hint="eastAsia" w:ascii="宋体" w:hAnsi="宋体" w:eastAsia="宋体" w:cs="宋体"/>
          <w:lang w:val="es-ES"/>
        </w:rPr>
      </w:pPr>
      <w:r>
        <w:rPr>
          <w:rFonts w:hint="eastAsia" w:ascii="宋体" w:hAnsi="宋体" w:eastAsia="宋体" w:cs="宋体"/>
        </w:rPr>
        <w:t>使用单位有权按照本标准的检验规则和试验方法对所收到的该产品进行验收，如有异议需在收到产品15天内向生产厂提出；当供需双方对产品质量发生异议时，由双方协商解决或请仲裁单位进行仲裁分析，仲裁分析时应按本标准规定的试验方法和检验规则进行。</w:t>
      </w:r>
    </w:p>
    <w:p>
      <w:pPr>
        <w:pStyle w:val="27"/>
        <w:spacing w:before="312" w:after="312"/>
      </w:pPr>
      <w:r>
        <w:rPr>
          <w:rFonts w:hint="eastAsia"/>
        </w:rPr>
        <w:t>标志、</w:t>
      </w:r>
      <w:r>
        <w:t>包装</w:t>
      </w:r>
      <w:r>
        <w:rPr>
          <w:rFonts w:hint="eastAsia"/>
        </w:rPr>
        <w:t>、运输、贮存及保质期</w:t>
      </w:r>
    </w:p>
    <w:p>
      <w:pPr>
        <w:pStyle w:val="29"/>
        <w:spacing w:before="156" w:after="156"/>
        <w:ind w:left="0"/>
        <w:rPr>
          <w:rFonts w:hint="eastAsia"/>
          <w:lang w:val="es-ES"/>
        </w:rPr>
      </w:pPr>
      <w:r>
        <w:rPr>
          <w:rFonts w:hint="eastAsia"/>
          <w:lang w:val="es-ES"/>
        </w:rPr>
        <w:t>标志</w:t>
      </w:r>
    </w:p>
    <w:p>
      <w:pPr>
        <w:pStyle w:val="24"/>
        <w:rPr>
          <w:rFonts w:hint="eastAsia" w:hAnsi="宋体" w:cs="宋体"/>
        </w:rPr>
      </w:pPr>
      <w:r>
        <w:rPr>
          <w:rFonts w:ascii="Times New Roman"/>
        </w:rPr>
        <w:t>产品销售包装图示标志应</w:t>
      </w:r>
      <w:r>
        <w:rPr>
          <w:rFonts w:hint="eastAsia" w:hAnsi="宋体" w:cs="宋体"/>
        </w:rPr>
        <w:t>按GB/T191执行，标注内容为：产品名称、商标（如有）、保质期（用生产日期、保质期或生产批号、限期使用日期等方式组合表示）、生产者名称、地址、净含量、执行标准号以及根据产品特点所应标注的其他内容。</w:t>
      </w:r>
    </w:p>
    <w:p>
      <w:pPr>
        <w:pStyle w:val="29"/>
        <w:spacing w:before="156" w:after="156"/>
        <w:ind w:left="0"/>
        <w:rPr>
          <w:rFonts w:hint="eastAsia"/>
          <w:lang w:val="es-ES"/>
        </w:rPr>
      </w:pPr>
      <w:r>
        <w:rPr>
          <w:rFonts w:hint="eastAsia"/>
          <w:lang w:val="es-ES"/>
        </w:rPr>
        <w:t>包装</w:t>
      </w:r>
    </w:p>
    <w:p>
      <w:pPr>
        <w:pStyle w:val="24"/>
        <w:rPr>
          <w:rFonts w:hint="eastAsia"/>
          <w:szCs w:val="21"/>
        </w:rPr>
      </w:pPr>
      <w:r>
        <w:rPr>
          <w:rFonts w:hAnsi="宋体"/>
          <w:color w:val="000000"/>
          <w:kern w:val="2"/>
          <w:szCs w:val="21"/>
        </w:rPr>
        <w:t>产品采用适宜包装，根据用户要求包装。</w:t>
      </w:r>
    </w:p>
    <w:p>
      <w:pPr>
        <w:pStyle w:val="29"/>
        <w:spacing w:before="156" w:after="156"/>
        <w:ind w:left="0"/>
        <w:rPr>
          <w:rFonts w:hint="eastAsia"/>
          <w:lang w:val="es-ES"/>
        </w:rPr>
      </w:pPr>
      <w:r>
        <w:rPr>
          <w:rFonts w:hint="eastAsia"/>
          <w:lang w:val="es-ES"/>
        </w:rPr>
        <w:t>运输</w:t>
      </w:r>
    </w:p>
    <w:p>
      <w:pPr>
        <w:pStyle w:val="24"/>
        <w:rPr>
          <w:rFonts w:hint="eastAsia"/>
          <w:szCs w:val="21"/>
        </w:rPr>
      </w:pPr>
      <w:r>
        <w:rPr>
          <w:rFonts w:hAnsi="宋体"/>
          <w:color w:val="000000"/>
          <w:kern w:val="2"/>
          <w:szCs w:val="21"/>
        </w:rPr>
        <w:t>本产品属于非危险品，任何运输工具可采用，在运输时应防火、防热、防雨淋、防受潮。</w:t>
      </w:r>
    </w:p>
    <w:p>
      <w:pPr>
        <w:pStyle w:val="29"/>
        <w:spacing w:before="156" w:after="156"/>
        <w:ind w:left="0"/>
        <w:rPr>
          <w:rFonts w:hint="eastAsia"/>
          <w:lang w:val="es-ES"/>
        </w:rPr>
      </w:pPr>
      <w:r>
        <w:rPr>
          <w:rFonts w:hint="eastAsia"/>
          <w:lang w:val="es-ES"/>
        </w:rPr>
        <w:t>贮存</w:t>
      </w:r>
    </w:p>
    <w:p>
      <w:pPr>
        <w:pStyle w:val="32"/>
        <w:numPr>
          <w:ilvl w:val="0"/>
          <w:numId w:val="0"/>
        </w:numPr>
        <w:spacing w:before="156" w:after="156"/>
        <w:ind w:firstLine="420" w:firstLineChars="200"/>
        <w:outlineLvl w:val="9"/>
        <w:rPr>
          <w:rFonts w:hint="eastAsia" w:ascii="宋体" w:hAnsi="宋体" w:eastAsia="宋体"/>
        </w:rPr>
      </w:pPr>
      <w:r>
        <w:rPr>
          <w:rFonts w:ascii="宋体" w:hAnsi="宋体" w:eastAsia="宋体"/>
          <w:color w:val="000000"/>
          <w:kern w:val="2"/>
        </w:rPr>
        <w:t>应常温存放在通风、干燥、阴凉的仓库内</w:t>
      </w:r>
      <w:r>
        <w:rPr>
          <w:rFonts w:hint="eastAsia" w:ascii="宋体" w:hAnsi="宋体" w:eastAsia="宋体"/>
          <w:color w:val="000000"/>
          <w:kern w:val="2"/>
        </w:rPr>
        <w:t>、</w:t>
      </w:r>
      <w:r>
        <w:rPr>
          <w:rFonts w:ascii="宋体" w:hAnsi="宋体" w:eastAsia="宋体"/>
          <w:color w:val="000000"/>
          <w:kern w:val="2"/>
        </w:rPr>
        <w:t>应防火。</w:t>
      </w:r>
    </w:p>
    <w:p>
      <w:pPr>
        <w:pStyle w:val="29"/>
        <w:spacing w:before="156" w:after="156"/>
        <w:ind w:left="0"/>
        <w:rPr>
          <w:rFonts w:hint="eastAsia"/>
          <w:lang w:val="es-ES"/>
        </w:rPr>
      </w:pPr>
      <w:r>
        <w:rPr>
          <w:rFonts w:hint="eastAsia"/>
          <w:lang w:val="es-ES"/>
        </w:rPr>
        <w:t>保质期</w:t>
      </w:r>
    </w:p>
    <w:p>
      <w:pPr>
        <w:pStyle w:val="24"/>
        <w:rPr>
          <w:rFonts w:ascii="Times New Roman"/>
          <w:lang w:val="es-ES"/>
        </w:rPr>
      </w:pPr>
      <w:r>
        <w:rPr>
          <w:rFonts w:ascii="Times New Roman"/>
          <w:lang w:val="es-ES"/>
        </w:rPr>
        <w:t>在符合规定的运输和贮存条件下</w:t>
      </w:r>
      <w:r>
        <w:rPr>
          <w:rFonts w:hint="eastAsia" w:ascii="Times New Roman"/>
          <w:lang w:val="es-ES"/>
        </w:rPr>
        <w:t>，</w:t>
      </w:r>
      <w:r>
        <w:rPr>
          <w:rFonts w:ascii="Times New Roman"/>
          <w:lang w:val="es-ES"/>
        </w:rPr>
        <w:t>产品在包装完整和未启封的情况下</w:t>
      </w:r>
      <w:r>
        <w:rPr>
          <w:rFonts w:hint="eastAsia" w:ascii="Times New Roman"/>
          <w:lang w:val="es-ES"/>
        </w:rPr>
        <w:t>，</w:t>
      </w:r>
      <w:r>
        <w:rPr>
          <w:rFonts w:ascii="Times New Roman"/>
          <w:lang w:val="es-ES"/>
        </w:rPr>
        <w:t>保质期按销售包装标注执行。</w:t>
      </w:r>
    </w:p>
    <w:p>
      <w:pPr>
        <w:spacing w:line="360" w:lineRule="auto"/>
        <w:rPr>
          <w:rFonts w:hint="eastAsia" w:ascii="黑体" w:hAnsi="黑体" w:eastAsia="黑体" w:cs="黑体"/>
        </w:rPr>
      </w:pPr>
      <w:r>
        <mc:AlternateContent>
          <mc:Choice Requires="wps">
            <w:drawing>
              <wp:anchor distT="0" distB="0" distL="114300" distR="114300" simplePos="0" relativeHeight="251663360" behindDoc="0" locked="0" layoutInCell="1" allowOverlap="1">
                <wp:simplePos x="0" y="0"/>
                <wp:positionH relativeFrom="column">
                  <wp:posOffset>1790700</wp:posOffset>
                </wp:positionH>
                <wp:positionV relativeFrom="paragraph">
                  <wp:posOffset>393700</wp:posOffset>
                </wp:positionV>
                <wp:extent cx="1714500" cy="1905"/>
                <wp:effectExtent l="0" t="0" r="0" b="0"/>
                <wp:wrapTopAndBottom/>
                <wp:docPr id="1" name="直接连接符 1"/>
                <wp:cNvGraphicFramePr/>
                <a:graphic xmlns:a="http://schemas.openxmlformats.org/drawingml/2006/main">
                  <a:graphicData uri="http://schemas.microsoft.com/office/word/2010/wordprocessingShape">
                    <wps:wsp>
                      <wps:cNvSpPr/>
                      <wps:spPr>
                        <a:xfrm flipV="1">
                          <a:off x="0" y="0"/>
                          <a:ext cx="1714500" cy="190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41pt;margin-top:31pt;height:0.15pt;width:135pt;mso-wrap-distance-bottom:0pt;mso-wrap-distance-top:0pt;z-index:251663360;mso-width-relative:page;mso-height-relative:page;" filled="f" stroked="t" coordsize="21600,21600" o:gfxdata="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5aXudQAAAAJAQAADwAAAAAA&#10;AAABACAAAAAiAAAAZHJzL2Rvd25yZXYueG1sUEsBAhQAFAAAAAgAh07iQJmIX33eAQAApAMAAA4A&#10;AAAAAAAAAQAgAAAAIwEAAGRycy9lMm9Eb2MueG1sUEsFBgAAAAAGAAYAWQEAAHMFAAAAAA==&#10;">
                <v:fill on="f" focussize="0,0"/>
                <v:stroke weight="1.5pt" color="#000000" joinstyle="round"/>
                <v:imagedata o:title=""/>
                <o:lock v:ext="edit" aspectratio="f"/>
                <w10:wrap type="topAndBottom"/>
              </v:line>
            </w:pict>
          </mc:Fallback>
        </mc:AlternateContent>
      </w:r>
    </w:p>
    <w:p/>
    <w:sectPr>
      <w:headerReference r:id="rId7" w:type="default"/>
      <w:footerReference r:id="rId9" w:type="default"/>
      <w:headerReference r:id="rId8" w:type="even"/>
      <w:footerReference r:id="rId10" w:type="even"/>
      <w:pgSz w:w="11906" w:h="16838"/>
      <w:pgMar w:top="567" w:right="1134" w:bottom="1134" w:left="1470"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both"/>
    </w:pPr>
    <w: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5911215"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5911215" cy="1828800"/>
                      </a:xfrm>
                      <a:prstGeom prst="rect">
                        <a:avLst/>
                      </a:prstGeom>
                      <a:noFill/>
                      <a:ln w="9525">
                        <a:noFill/>
                      </a:ln>
                      <a:effectLst/>
                    </wps:spPr>
                    <wps:txbx>
                      <w:txbxContent>
                        <w:p>
                          <w:pPr>
                            <w:pStyle w:val="4"/>
                          </w:pPr>
                          <w:r>
                            <w:rPr>
                              <w:rFonts w:hint="eastAsia" w:ascii="仿宋" w:hAnsi="仿宋" w:eastAsia="仿宋" w:cs="仿宋"/>
                            </w:rPr>
                            <w:t>Ⅰ</w:t>
                          </w:r>
                        </w:p>
                      </w:txbxContent>
                    </wps:txbx>
                    <wps:bodyPr wrap="square" lIns="0" tIns="0" rIns="0" bIns="0">
                      <a:spAutoFit/>
                    </wps:bodyPr>
                  </wps:wsp>
                </a:graphicData>
              </a:graphic>
            </wp:anchor>
          </w:drawing>
        </mc:Choice>
        <mc:Fallback>
          <w:pict>
            <v:shape id="_x0000_s1026" o:spid="_x0000_s1026" o:spt="202" type="#_x0000_t202" style="position:absolute;left:0pt;margin-top:0pt;height:144pt;width:465.45pt;mso-position-horizontal:left;mso-position-horizontal-relative:margin;z-index:251667456;mso-width-relative:page;mso-height-relative:page;" filled="f" stroked="f" coordsize="21600,21600" o:gfxdata="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8Q4xL1AAAAAUBAAAPAAAAAAAAAAEAIAAAACIAAABkcnMvZG93bnJldi54bWxQSwEC&#10;FAAUAAAACACHTuJAdJWrtr8BAABYAwAADgAAAAAAAAABACAAAAAjAQAAZHJzL2Uyb0RvYy54bWxQ&#10;SwUGAAAAAAYABgBZAQAAVAUAAAAA&#10;">
              <v:fill on="f" focussize="0,0"/>
              <v:stroke on="f"/>
              <v:imagedata o:title=""/>
              <o:lock v:ext="edit" aspectratio="f"/>
              <v:textbox inset="0mm,0mm,0mm,0mm" style="mso-fit-shape-to-text:t;">
                <w:txbxContent>
                  <w:p>
                    <w:pPr>
                      <w:pStyle w:val="4"/>
                    </w:pPr>
                    <w:r>
                      <w:rPr>
                        <w:rFonts w:hint="eastAsia" w:ascii="仿宋" w:hAnsi="仿宋" w:eastAsia="仿宋" w:cs="仿宋"/>
                      </w:rPr>
                      <w:t>Ⅰ</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rStyle w:val="7"/>
      </w:rPr>
    </w:pPr>
    <w:r>
      <w:fldChar w:fldCharType="begin"/>
    </w:r>
    <w:r>
      <w:rPr>
        <w:rStyle w:val="7"/>
      </w:rPr>
      <w:instrText xml:space="preserve">PAGE  </w:instrText>
    </w:r>
    <w:r>
      <w:fldChar w:fldCharType="separate"/>
    </w:r>
    <w:r>
      <w:rPr>
        <w:rStyle w:val="7"/>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rFonts w:hint="eastAsia"/>
      </w:rPr>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hint="eastAsia"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EPZ0Z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DpxD2dGQIAACMEAAAOAAAA&#10;AAAAAAEAIAAAAB8BAABkcnMvZTJvRG9jLnhtbFBLBQYAAAAABgAGAFkBAACqBQAAAAA=&#10;">
              <v:fill on="f" focussize="0,0"/>
              <v:stroke on="f" weight="0.5pt"/>
              <v:imagedata o:title=""/>
              <o:lock v:ext="edit" aspectratio="f"/>
              <v:textbox inset="0mm,0mm,0mm,0mm" style="mso-fit-shape-to-text:t;">
                <w:txbxContent>
                  <w:p>
                    <w:pPr>
                      <w:pStyle w:val="4"/>
                      <w:rPr>
                        <w:rFonts w:hint="eastAsia"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7</w:t>
                    </w:r>
                    <w:r>
                      <w:rPr>
                        <w:rFonts w:hint="eastAsia" w:ascii="宋体" w:hAnsi="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S4lIZ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CKEuJSGQIAACMEAAAOAAAA&#10;AAAAAAEAIAAAAB8BAABkcnMvZTJvRG9jLnhtbFBLBQYAAAAABgAGAFkBAACq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rPr>
        <w:rFonts w:hint="eastAsia" w:ascii="Times New Roman"/>
      </w:rPr>
      <w:t>T</w:t>
    </w:r>
    <w:r>
      <w:rPr>
        <w:rFonts w:ascii="Times New Roman"/>
      </w:rPr>
      <w:t>/</w:t>
    </w:r>
    <w:r>
      <w:rPr>
        <w:rFonts w:hint="eastAsia" w:hAnsi="黑体"/>
      </w:rPr>
      <w:t>CAFFCI</w:t>
    </w:r>
    <w:r>
      <w:t xml:space="preserve">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wordWrap w:val="0"/>
      <w:rPr>
        <w:rFonts w:hint="eastAsia"/>
      </w:rPr>
    </w:pPr>
    <w:r>
      <w:rPr>
        <w:rFonts w:hint="eastAsia"/>
      </w:rPr>
      <w:t>T</w:t>
    </w:r>
    <w:r>
      <w:t>/</w:t>
    </w:r>
    <w:r>
      <w:rPr>
        <w:rFonts w:hint="eastAsia" w:hAnsi="黑体" w:cs="黑体"/>
      </w:rPr>
      <w:t>CAFFCIX</w:t>
    </w:r>
    <w:r>
      <w:rPr>
        <w:rFonts w:hint="eastAsia"/>
      </w:rPr>
      <w:t>--</w:t>
    </w:r>
    <w:r>
      <w:t>20</w:t>
    </w:r>
    <w:r>
      <w:rPr>
        <w:rFonts w:hint="eastAsia"/>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rPr>
        <w:rFonts w:hint="eastAsia"/>
      </w:rPr>
    </w:pPr>
    <w:r>
      <w:rPr>
        <w:rFonts w:hint="eastAsia" w:hAnsi="黑体" w:cs="黑体"/>
      </w:rPr>
      <w:t>T/CAFFCIX—2020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left"/>
      <w:rPr>
        <w:rFonts w:hint="eastAsia" w:hAnsi="黑体" w:cs="黑体"/>
      </w:rPr>
    </w:pPr>
    <w:r>
      <w:rPr>
        <w:rFonts w:hint="eastAsia" w:hAnsi="黑体" w:cs="黑体"/>
      </w:rPr>
      <w:t>T/CAFFCIX—2020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73558"/>
    <w:multiLevelType w:val="multilevel"/>
    <w:tmpl w:val="0D873558"/>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FC91163"/>
    <w:multiLevelType w:val="multilevel"/>
    <w:tmpl w:val="1FC91163"/>
    <w:lvl w:ilvl="0" w:tentative="0">
      <w:start w:val="1"/>
      <w:numFmt w:val="decimal"/>
      <w:pStyle w:val="2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142"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525" w:firstLine="0"/>
      </w:pPr>
      <w:rPr>
        <w:rFonts w:hint="eastAsia" w:ascii="黑体" w:hAnsi="Times New Roman" w:eastAsia="黑体"/>
        <w:b w:val="0"/>
        <w:i w:val="0"/>
        <w:sz w:val="21"/>
      </w:rPr>
    </w:lvl>
    <w:lvl w:ilvl="3" w:tentative="0">
      <w:start w:val="1"/>
      <w:numFmt w:val="decimal"/>
      <w:suff w:val="nothing"/>
      <w:lvlText w:val="%1.%2.%3.%4　"/>
      <w:lvlJc w:val="left"/>
      <w:pPr>
        <w:ind w:left="630" w:firstLine="0"/>
      </w:pPr>
      <w:rPr>
        <w:rFonts w:hint="eastAsia" w:ascii="黑体" w:hAnsi="Times New Roman" w:eastAsia="黑体"/>
        <w:b w:val="0"/>
        <w:i w:val="0"/>
        <w:sz w:val="21"/>
      </w:rPr>
    </w:lvl>
    <w:lvl w:ilvl="4" w:tentative="0">
      <w:start w:val="1"/>
      <w:numFmt w:val="decimal"/>
      <w:suff w:val="nothing"/>
      <w:lvlText w:val="%1.%2.%3.%4.%5　"/>
      <w:lvlJc w:val="left"/>
      <w:pPr>
        <w:ind w:left="84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tentative="0">
      <w:start w:val="1"/>
      <w:numFmt w:val="decimal"/>
      <w:pStyle w:val="2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F57EAE"/>
    <w:rsid w:val="21F57E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snapToGrid w:val="0"/>
      <w:ind w:right="210" w:rightChars="100"/>
      <w:jc w:val="right"/>
    </w:pPr>
    <w:rPr>
      <w:sz w:val="18"/>
      <w:szCs w:val="18"/>
    </w:rPr>
  </w:style>
  <w:style w:type="character" w:styleId="7">
    <w:name w:val="page number"/>
    <w:qFormat/>
    <w:uiPriority w:val="0"/>
    <w:rPr>
      <w:rFonts w:ascii="Times New Roman" w:hAnsi="Times New Roman" w:eastAsia="宋体"/>
      <w:sz w:val="18"/>
    </w:rPr>
  </w:style>
  <w:style w:type="character" w:styleId="8">
    <w:name w:val="annotation reference"/>
    <w:qFormat/>
    <w:uiPriority w:val="0"/>
    <w:rPr>
      <w:sz w:val="21"/>
      <w:szCs w:val="21"/>
    </w:rPr>
  </w:style>
  <w:style w:type="paragraph" w:customStyle="1" w:styleId="9">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12">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14">
    <w:name w:val="封面标准英文名称"/>
    <w:basedOn w:val="13"/>
    <w:qFormat/>
    <w:uiPriority w:val="0"/>
    <w:pPr>
      <w:spacing w:before="370" w:line="400" w:lineRule="exact"/>
    </w:pPr>
    <w:rPr>
      <w:rFonts w:ascii="Times New Roman"/>
      <w:sz w:val="28"/>
      <w:szCs w:val="28"/>
    </w:rPr>
  </w:style>
  <w:style w:type="paragraph" w:customStyle="1" w:styleId="15">
    <w:name w:val="封面标准文稿类别"/>
    <w:basedOn w:val="16"/>
    <w:qFormat/>
    <w:uiPriority w:val="0"/>
    <w:pPr>
      <w:spacing w:after="160" w:line="240" w:lineRule="auto"/>
    </w:pPr>
    <w:rPr>
      <w:sz w:val="24"/>
    </w:rPr>
  </w:style>
  <w:style w:type="paragraph" w:customStyle="1" w:styleId="16">
    <w:name w:val="封面一致性程度标识"/>
    <w:basedOn w:val="14"/>
    <w:qFormat/>
    <w:uiPriority w:val="0"/>
    <w:pPr>
      <w:spacing w:before="440"/>
    </w:pPr>
    <w:rPr>
      <w:rFonts w:ascii="宋体" w:eastAsia="宋体"/>
    </w:rPr>
  </w:style>
  <w:style w:type="paragraph" w:customStyle="1" w:styleId="17">
    <w:name w:val="封面标准文稿编辑信息"/>
    <w:basedOn w:val="15"/>
    <w:qFormat/>
    <w:uiPriority w:val="0"/>
    <w:pPr>
      <w:spacing w:before="180" w:line="180" w:lineRule="exact"/>
    </w:pPr>
    <w:rPr>
      <w:sz w:val="21"/>
    </w:rPr>
  </w:style>
  <w:style w:type="paragraph" w:customStyle="1" w:styleId="18">
    <w:name w:val="其他发布日期"/>
    <w:basedOn w:val="19"/>
    <w:qFormat/>
    <w:uiPriority w:val="0"/>
    <w:pPr>
      <w:framePr w:vAnchor="page" w:hAnchor="text" w:x="1419"/>
    </w:pPr>
  </w:style>
  <w:style w:type="paragraph" w:customStyle="1" w:styleId="19">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20">
    <w:name w:val="其他实施日期"/>
    <w:basedOn w:val="21"/>
    <w:qFormat/>
    <w:uiPriority w:val="0"/>
  </w:style>
  <w:style w:type="paragraph" w:customStyle="1" w:styleId="21">
    <w:name w:val="实施日期"/>
    <w:basedOn w:val="19"/>
    <w:qFormat/>
    <w:uiPriority w:val="0"/>
    <w:pPr>
      <w:framePr w:vAnchor="page" w:hAnchor="text"/>
      <w:jc w:val="right"/>
    </w:pPr>
  </w:style>
  <w:style w:type="paragraph" w:customStyle="1" w:styleId="22">
    <w:name w:val="其他发布部门"/>
    <w:basedOn w:val="23"/>
    <w:qFormat/>
    <w:uiPriority w:val="0"/>
    <w:pPr>
      <w:framePr w:y="15310"/>
      <w:spacing w:line="0" w:lineRule="atLeast"/>
    </w:pPr>
    <w:rPr>
      <w:rFonts w:ascii="黑体" w:eastAsia="黑体"/>
      <w:b w:val="0"/>
    </w:rPr>
  </w:style>
  <w:style w:type="paragraph" w:customStyle="1" w:styleId="23">
    <w:name w:val="发布部门"/>
    <w:next w:val="24"/>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2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5">
    <w:name w:val="发布"/>
    <w:qFormat/>
    <w:uiPriority w:val="0"/>
    <w:rPr>
      <w:rFonts w:ascii="黑体" w:eastAsia="黑体"/>
      <w:spacing w:val="85"/>
      <w:w w:val="100"/>
      <w:position w:val="3"/>
      <w:sz w:val="28"/>
      <w:szCs w:val="28"/>
    </w:rPr>
  </w:style>
  <w:style w:type="paragraph" w:customStyle="1" w:styleId="26">
    <w:name w:val="前言、引言标题"/>
    <w:next w:val="1"/>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7">
    <w:name w:val="章标题"/>
    <w:next w:val="24"/>
    <w:qFormat/>
    <w:uiPriority w:val="0"/>
    <w:pPr>
      <w:numPr>
        <w:ilvl w:val="0"/>
        <w:numId w:val="1"/>
      </w:numPr>
      <w:spacing w:beforeLines="100" w:afterLines="100"/>
      <w:jc w:val="both"/>
      <w:outlineLvl w:val="1"/>
    </w:pPr>
    <w:rPr>
      <w:rFonts w:ascii="黑体" w:hAnsi="Calibri" w:eastAsia="黑体" w:cs="Times New Roman"/>
      <w:sz w:val="21"/>
      <w:lang w:val="en-US" w:eastAsia="zh-CN" w:bidi="ar-SA"/>
    </w:rPr>
  </w:style>
  <w:style w:type="paragraph" w:customStyle="1" w:styleId="28">
    <w:name w:val="正文表标题"/>
    <w:next w:val="24"/>
    <w:qFormat/>
    <w:uiPriority w:val="0"/>
    <w:pPr>
      <w:numPr>
        <w:ilvl w:val="0"/>
        <w:numId w:val="2"/>
      </w:numPr>
      <w:tabs>
        <w:tab w:val="left" w:pos="360"/>
      </w:tabs>
      <w:spacing w:beforeLines="50" w:afterLines="50"/>
      <w:jc w:val="center"/>
    </w:pPr>
    <w:rPr>
      <w:rFonts w:ascii="黑体" w:hAnsi="Calibri" w:eastAsia="黑体" w:cs="Times New Roman"/>
      <w:sz w:val="21"/>
      <w:lang w:val="en-US" w:eastAsia="zh-CN" w:bidi="ar-SA"/>
    </w:rPr>
  </w:style>
  <w:style w:type="paragraph" w:customStyle="1" w:styleId="29">
    <w:name w:val="一级条标题"/>
    <w:next w:val="24"/>
    <w:qFormat/>
    <w:uiPriority w:val="0"/>
    <w:pPr>
      <w:numPr>
        <w:ilvl w:val="1"/>
        <w:numId w:val="1"/>
      </w:numPr>
      <w:spacing w:beforeLines="50" w:afterLines="50"/>
      <w:outlineLvl w:val="2"/>
    </w:pPr>
    <w:rPr>
      <w:rFonts w:ascii="黑体" w:hAnsi="Calibri" w:eastAsia="黑体" w:cs="Times New Roman"/>
      <w:sz w:val="21"/>
      <w:szCs w:val="21"/>
      <w:lang w:val="en-US" w:eastAsia="zh-CN" w:bidi="ar-SA"/>
    </w:rPr>
  </w:style>
  <w:style w:type="paragraph" w:customStyle="1" w:styleId="30">
    <w:name w:val="二级条标题"/>
    <w:basedOn w:val="29"/>
    <w:next w:val="24"/>
    <w:qFormat/>
    <w:uiPriority w:val="0"/>
    <w:pPr>
      <w:numPr>
        <w:ilvl w:val="2"/>
      </w:numPr>
      <w:spacing w:before="50" w:after="50"/>
      <w:outlineLvl w:val="3"/>
    </w:pPr>
  </w:style>
  <w:style w:type="character" w:customStyle="1" w:styleId="31">
    <w:name w:val="fontstyle01"/>
    <w:qFormat/>
    <w:uiPriority w:val="0"/>
    <w:rPr>
      <w:rFonts w:hint="eastAsia" w:ascii="黑体" w:hAnsi="黑体" w:eastAsia="黑体"/>
      <w:color w:val="000000"/>
      <w:sz w:val="22"/>
      <w:szCs w:val="22"/>
    </w:rPr>
  </w:style>
  <w:style w:type="paragraph" w:customStyle="1" w:styleId="32">
    <w:name w:val="三级条标题 Char"/>
    <w:basedOn w:val="30"/>
    <w:next w:val="24"/>
    <w:qFormat/>
    <w:uiPriority w:val="0"/>
    <w:pPr>
      <w:numPr>
        <w:ilvl w:val="4"/>
        <w:numId w:val="3"/>
      </w:numPr>
      <w:outlineLvl w:val="4"/>
    </w:pPr>
  </w:style>
  <w:style w:type="paragraph" w:customStyle="1" w:styleId="33">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34">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35">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2020-04-10T06:02:00Z</dcterms:created>
  <dc:creator>张鹏</dc:creator>
  <cp:lastModifiedBy>张鹏</cp:lastModifiedBy>
  <dcterms:modified xsi:type="dcterms:W3CDTF">2020-04-14T01:53:51Z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2052-11.1.0.9341</vt:lpwstr>
  </property>
</Properties>
</file>